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5AE3" w:rsidRPr="004A1A0C" w:rsidRDefault="00B669A0" w:rsidP="00B669A0">
      <w:pPr>
        <w:spacing w:after="0"/>
        <w:jc w:val="center"/>
        <w:rPr>
          <w:rFonts w:cstheme="minorHAnsi"/>
          <w:b/>
          <w:bCs/>
          <w:lang w:val="en-GB"/>
        </w:rPr>
      </w:pPr>
      <w:r w:rsidRPr="004A1A0C">
        <w:rPr>
          <w:rFonts w:cstheme="minorHAnsi"/>
          <w:b/>
          <w:bCs/>
          <w:lang w:val="en-GB"/>
        </w:rPr>
        <w:t>TARGETED STAKEHOLDER CONSULTATION 2021 RULE OF LAW REPORT</w:t>
      </w:r>
    </w:p>
    <w:p w:rsidR="00B669A0" w:rsidRPr="004A1A0C" w:rsidRDefault="00B669A0" w:rsidP="00B669A0">
      <w:pPr>
        <w:spacing w:after="0"/>
        <w:jc w:val="center"/>
        <w:rPr>
          <w:rFonts w:cstheme="minorHAnsi"/>
          <w:b/>
          <w:bCs/>
          <w:lang w:val="en-AU"/>
        </w:rPr>
      </w:pPr>
      <w:r w:rsidRPr="004A1A0C">
        <w:rPr>
          <w:rFonts w:cstheme="minorHAnsi"/>
          <w:b/>
          <w:bCs/>
          <w:lang w:val="en-AU"/>
        </w:rPr>
        <w:t>UN HUMAN RIGHTS REGIONAL OFFICE FOR EUROPE (OHCHR)</w:t>
      </w:r>
    </w:p>
    <w:p w:rsidR="00B669A0" w:rsidRPr="004A1A0C" w:rsidRDefault="00B669A0" w:rsidP="00B669A0">
      <w:pPr>
        <w:spacing w:after="0"/>
        <w:rPr>
          <w:rFonts w:cstheme="minorHAnsi"/>
          <w:b/>
          <w:bCs/>
          <w:lang w:val="en-AU"/>
        </w:rPr>
      </w:pPr>
    </w:p>
    <w:p w:rsidR="008F5F0F" w:rsidRPr="004A1A0C" w:rsidRDefault="008F5F0F" w:rsidP="00815599">
      <w:pPr>
        <w:jc w:val="both"/>
        <w:rPr>
          <w:rFonts w:cstheme="minorHAnsi"/>
          <w:lang w:val="en-AU"/>
        </w:rPr>
      </w:pPr>
    </w:p>
    <w:p w:rsidR="001B7CA2" w:rsidRPr="004A1A0C" w:rsidRDefault="00D35173" w:rsidP="00B669A0">
      <w:pPr>
        <w:pBdr>
          <w:bottom w:val="single" w:sz="4" w:space="1" w:color="auto"/>
        </w:pBdr>
        <w:rPr>
          <w:rFonts w:cstheme="minorHAnsi"/>
          <w:b/>
          <w:bCs/>
          <w:lang w:val="en-GB"/>
        </w:rPr>
      </w:pPr>
      <w:r w:rsidRPr="004A1A0C">
        <w:rPr>
          <w:rFonts w:cstheme="minorHAnsi"/>
          <w:b/>
          <w:bCs/>
          <w:lang w:val="en-AU"/>
        </w:rPr>
        <w:t>CROATIA</w:t>
      </w:r>
      <w:r w:rsidR="00B669A0" w:rsidRPr="004A1A0C">
        <w:rPr>
          <w:rFonts w:cstheme="minorHAnsi"/>
          <w:b/>
          <w:bCs/>
          <w:lang w:val="en-AU"/>
        </w:rPr>
        <w:t xml:space="preserve"> REVIEW</w:t>
      </w:r>
    </w:p>
    <w:p w:rsidR="001B7CA2" w:rsidRPr="004A1A0C" w:rsidRDefault="001B7CA2" w:rsidP="001B7CA2">
      <w:pPr>
        <w:rPr>
          <w:rFonts w:cstheme="minorHAnsi"/>
          <w:lang w:val="en-GB"/>
        </w:rPr>
      </w:pPr>
      <w:r w:rsidRPr="004A1A0C">
        <w:rPr>
          <w:rFonts w:cstheme="minorHAnsi"/>
          <w:b/>
          <w:bCs/>
          <w:lang w:val="en-GB"/>
        </w:rPr>
        <w:t xml:space="preserve">I. Justice System </w:t>
      </w:r>
    </w:p>
    <w:p w:rsidR="001B7CA2" w:rsidRPr="004A1A0C" w:rsidRDefault="001B7CA2" w:rsidP="001B7CA2">
      <w:pPr>
        <w:rPr>
          <w:rFonts w:cstheme="minorHAnsi"/>
          <w:lang w:val="en-GB"/>
        </w:rPr>
      </w:pPr>
      <w:r w:rsidRPr="004A1A0C">
        <w:rPr>
          <w:rFonts w:cstheme="minorHAnsi"/>
          <w:b/>
          <w:bCs/>
          <w:i/>
          <w:iCs/>
          <w:lang w:val="en-GB"/>
        </w:rPr>
        <w:t xml:space="preserve">A. Independence </w:t>
      </w:r>
    </w:p>
    <w:p w:rsidR="001B7CA2" w:rsidRPr="004A1A0C" w:rsidRDefault="001B7CA2" w:rsidP="001B7CA2">
      <w:pPr>
        <w:rPr>
          <w:rFonts w:cstheme="minorHAnsi"/>
          <w:lang w:val="en-GB"/>
        </w:rPr>
      </w:pPr>
      <w:r w:rsidRPr="004A1A0C">
        <w:rPr>
          <w:rFonts w:cstheme="minorHAnsi"/>
          <w:i/>
          <w:iCs/>
          <w:lang w:val="en-GB"/>
        </w:rPr>
        <w:t xml:space="preserve">1. Appointment and selection of judges, prosecutors and court presidents </w:t>
      </w:r>
    </w:p>
    <w:p w:rsidR="001B7CA2" w:rsidRPr="004A1A0C" w:rsidRDefault="001B7CA2" w:rsidP="001B7CA2">
      <w:pPr>
        <w:rPr>
          <w:rFonts w:cstheme="minorHAnsi"/>
          <w:lang w:val="en-GB"/>
        </w:rPr>
      </w:pPr>
      <w:r w:rsidRPr="004A1A0C">
        <w:rPr>
          <w:rFonts w:cstheme="minorHAnsi"/>
          <w:i/>
          <w:iCs/>
          <w:lang w:val="en-GB"/>
        </w:rPr>
        <w:t xml:space="preserve">2. Irremovability of judges; including transfers, dismissal and retirement regime of judges, court presidents and prosecutors </w:t>
      </w:r>
    </w:p>
    <w:p w:rsidR="001B7CA2" w:rsidRPr="004A1A0C" w:rsidRDefault="001B7CA2" w:rsidP="001B7CA2">
      <w:pPr>
        <w:rPr>
          <w:rFonts w:cstheme="minorHAnsi"/>
          <w:lang w:val="en-GB"/>
        </w:rPr>
      </w:pPr>
      <w:r w:rsidRPr="004A1A0C">
        <w:rPr>
          <w:rFonts w:cstheme="minorHAnsi"/>
          <w:i/>
          <w:iCs/>
          <w:lang w:val="en-GB"/>
        </w:rPr>
        <w:t xml:space="preserve">3. Promotion of judges and prosecutors </w:t>
      </w:r>
    </w:p>
    <w:p w:rsidR="001B7CA2" w:rsidRPr="004A1A0C" w:rsidRDefault="001B7CA2" w:rsidP="001B7CA2">
      <w:pPr>
        <w:rPr>
          <w:rFonts w:cstheme="minorHAnsi"/>
          <w:lang w:val="en-GB"/>
        </w:rPr>
      </w:pPr>
      <w:r w:rsidRPr="004A1A0C">
        <w:rPr>
          <w:rFonts w:cstheme="minorHAnsi"/>
          <w:i/>
          <w:iCs/>
          <w:lang w:val="en-GB"/>
        </w:rPr>
        <w:t xml:space="preserve">4. Allocation of cases in courts </w:t>
      </w:r>
    </w:p>
    <w:p w:rsidR="001B7CA2" w:rsidRPr="004A1A0C" w:rsidRDefault="001B7CA2" w:rsidP="001B7CA2">
      <w:pPr>
        <w:rPr>
          <w:rFonts w:cstheme="minorHAnsi"/>
          <w:lang w:val="en-GB"/>
        </w:rPr>
      </w:pPr>
      <w:r w:rsidRPr="004A1A0C">
        <w:rPr>
          <w:rFonts w:cstheme="minorHAnsi"/>
          <w:i/>
          <w:iCs/>
          <w:lang w:val="en-GB"/>
        </w:rPr>
        <w:t xml:space="preserve">5. Independence (including composition and nomination of its members), and powers of the body tasked with safeguarding the independence of the judiciary (e.g. Council for the Judiciary) </w:t>
      </w:r>
    </w:p>
    <w:p w:rsidR="001B7CA2" w:rsidRPr="004A1A0C" w:rsidRDefault="001B7CA2" w:rsidP="001B7CA2">
      <w:pPr>
        <w:rPr>
          <w:rFonts w:cstheme="minorHAnsi"/>
          <w:lang w:val="en-GB"/>
        </w:rPr>
      </w:pPr>
      <w:r w:rsidRPr="004A1A0C">
        <w:rPr>
          <w:rFonts w:cstheme="minorHAnsi"/>
          <w:i/>
          <w:iCs/>
          <w:lang w:val="en-GB"/>
        </w:rPr>
        <w:t xml:space="preserve">6. Accountability of judges and prosecutors, including disciplinary regime and bodies and ethical rules, judicial immunity and criminal liability of judges. </w:t>
      </w:r>
    </w:p>
    <w:p w:rsidR="001B7CA2" w:rsidRPr="004A1A0C" w:rsidRDefault="001B7CA2" w:rsidP="001B7CA2">
      <w:pPr>
        <w:rPr>
          <w:rFonts w:cstheme="minorHAnsi"/>
          <w:lang w:val="en-GB"/>
        </w:rPr>
      </w:pPr>
      <w:r w:rsidRPr="004A1A0C">
        <w:rPr>
          <w:rFonts w:cstheme="minorHAnsi"/>
          <w:i/>
          <w:iCs/>
          <w:lang w:val="en-GB"/>
        </w:rPr>
        <w:t xml:space="preserve">7. Remuneration/bonuses for judges and prosecutors </w:t>
      </w:r>
    </w:p>
    <w:p w:rsidR="001B7CA2" w:rsidRPr="004A1A0C" w:rsidRDefault="001B7CA2" w:rsidP="001B7CA2">
      <w:pPr>
        <w:rPr>
          <w:rFonts w:cstheme="minorHAnsi"/>
          <w:lang w:val="en-GB"/>
        </w:rPr>
      </w:pPr>
      <w:r w:rsidRPr="004A1A0C">
        <w:rPr>
          <w:rFonts w:cstheme="minorHAnsi"/>
          <w:i/>
          <w:iCs/>
          <w:lang w:val="en-GB"/>
        </w:rPr>
        <w:t xml:space="preserve">8. Independence/autonomy of the prosecution service </w:t>
      </w:r>
    </w:p>
    <w:p w:rsidR="001B7CA2" w:rsidRPr="004A1A0C" w:rsidRDefault="001B7CA2" w:rsidP="001B7CA2">
      <w:pPr>
        <w:rPr>
          <w:rFonts w:cstheme="minorHAnsi"/>
          <w:lang w:val="en-GB"/>
        </w:rPr>
      </w:pPr>
      <w:r w:rsidRPr="004A1A0C">
        <w:rPr>
          <w:rFonts w:cstheme="minorHAnsi"/>
          <w:i/>
          <w:iCs/>
          <w:lang w:val="en-GB"/>
        </w:rPr>
        <w:t xml:space="preserve">9. Independence of the Bar (chamber/association of lawyers) and of lawyers </w:t>
      </w:r>
    </w:p>
    <w:p w:rsidR="001B7CA2" w:rsidRPr="004A1A0C" w:rsidRDefault="001B7CA2" w:rsidP="001B7CA2">
      <w:pPr>
        <w:rPr>
          <w:rFonts w:cstheme="minorHAnsi"/>
          <w:iCs/>
          <w:lang w:val="en-GB"/>
        </w:rPr>
      </w:pPr>
      <w:r w:rsidRPr="004A1A0C">
        <w:rPr>
          <w:rFonts w:cstheme="minorHAnsi"/>
          <w:i/>
          <w:iCs/>
          <w:lang w:val="en-GB"/>
        </w:rPr>
        <w:t xml:space="preserve">10. Significant developments capable of affecting the perception that the general public has of the independence of the judiciary </w:t>
      </w:r>
    </w:p>
    <w:p w:rsidR="001B7CA2" w:rsidRPr="004A1A0C" w:rsidRDefault="001B7CA2" w:rsidP="001B7CA2">
      <w:pPr>
        <w:rPr>
          <w:rFonts w:cstheme="minorHAnsi"/>
          <w:lang w:val="en-GB"/>
        </w:rPr>
      </w:pPr>
      <w:r w:rsidRPr="004A1A0C">
        <w:rPr>
          <w:rFonts w:cstheme="minorHAnsi"/>
          <w:b/>
          <w:bCs/>
          <w:i/>
          <w:iCs/>
          <w:lang w:val="en-GB"/>
        </w:rPr>
        <w:t xml:space="preserve">B. Quality of justice </w:t>
      </w:r>
    </w:p>
    <w:p w:rsidR="001B7CA2" w:rsidRPr="004A1A0C" w:rsidRDefault="001B7CA2" w:rsidP="001B7CA2">
      <w:pPr>
        <w:rPr>
          <w:rFonts w:cstheme="minorHAnsi"/>
          <w:i/>
          <w:iCs/>
          <w:lang w:val="en-GB"/>
        </w:rPr>
      </w:pPr>
      <w:r w:rsidRPr="004A1A0C">
        <w:rPr>
          <w:rFonts w:cstheme="minorHAnsi"/>
          <w:i/>
          <w:iCs/>
          <w:lang w:val="en-GB"/>
        </w:rPr>
        <w:t xml:space="preserve">11. Accessibility of courts (e.g. court fees, legal aid, language) </w:t>
      </w:r>
    </w:p>
    <w:p w:rsidR="001B7CA2" w:rsidRPr="004A1A0C" w:rsidRDefault="001B7CA2" w:rsidP="001B7CA2">
      <w:pPr>
        <w:rPr>
          <w:rFonts w:cstheme="minorHAnsi"/>
          <w:lang w:val="en-GB"/>
        </w:rPr>
      </w:pPr>
      <w:r w:rsidRPr="004A1A0C">
        <w:rPr>
          <w:rFonts w:cstheme="minorHAnsi"/>
          <w:i/>
          <w:iCs/>
          <w:lang w:val="en-GB"/>
        </w:rPr>
        <w:t xml:space="preserve">12. Resources of the judiciary (human/financial/material) </w:t>
      </w:r>
    </w:p>
    <w:p w:rsidR="001B7CA2" w:rsidRPr="004A1A0C" w:rsidRDefault="001B7CA2" w:rsidP="001B7CA2">
      <w:pPr>
        <w:rPr>
          <w:rFonts w:cstheme="minorHAnsi"/>
          <w:i/>
          <w:iCs/>
          <w:lang w:val="en-GB"/>
        </w:rPr>
      </w:pPr>
      <w:r w:rsidRPr="004A1A0C">
        <w:rPr>
          <w:rFonts w:cstheme="minorHAnsi"/>
          <w:i/>
          <w:iCs/>
          <w:lang w:val="en-GB"/>
        </w:rPr>
        <w:t xml:space="preserve">13. Training of justice professionals (including judges, prosecutors, lawyers, court staff) </w:t>
      </w:r>
    </w:p>
    <w:p w:rsidR="001B7CA2" w:rsidRPr="004A1A0C" w:rsidRDefault="001B7CA2" w:rsidP="001B7CA2">
      <w:pPr>
        <w:rPr>
          <w:rFonts w:cstheme="minorHAnsi"/>
          <w:lang w:val="en-GB"/>
        </w:rPr>
      </w:pPr>
      <w:r w:rsidRPr="004A1A0C">
        <w:rPr>
          <w:rFonts w:cstheme="minorHAnsi"/>
          <w:i/>
          <w:iCs/>
          <w:lang w:val="en-GB"/>
        </w:rPr>
        <w:t xml:space="preserve">14. Digitalisation (e.g. use of digital technology, particularly electronic communication tools, within the justice system and with court users, including resilience of justice systems in COVID-19 pandemic) </w:t>
      </w:r>
    </w:p>
    <w:p w:rsidR="001B7CA2" w:rsidRPr="004A1A0C" w:rsidRDefault="001B7CA2" w:rsidP="001B7CA2">
      <w:pPr>
        <w:rPr>
          <w:rFonts w:cstheme="minorHAnsi"/>
          <w:lang w:val="en-GB"/>
        </w:rPr>
      </w:pPr>
      <w:r w:rsidRPr="004A1A0C">
        <w:rPr>
          <w:rFonts w:cstheme="minorHAnsi"/>
          <w:i/>
          <w:iCs/>
          <w:lang w:val="en-GB"/>
        </w:rPr>
        <w:t xml:space="preserve">15. Use of assessment tools and standards (e.g. ICT systems for case management, court statistics and their transparency, monitoring, evaluation, surveys among court users or legal professionals) </w:t>
      </w:r>
    </w:p>
    <w:p w:rsidR="001B7CA2" w:rsidRPr="004A1A0C" w:rsidRDefault="001B7CA2" w:rsidP="001B7CA2">
      <w:pPr>
        <w:rPr>
          <w:rFonts w:cstheme="minorHAnsi"/>
          <w:lang w:val="en-GB"/>
        </w:rPr>
      </w:pPr>
      <w:r w:rsidRPr="004A1A0C">
        <w:rPr>
          <w:rFonts w:cstheme="minorHAnsi"/>
          <w:i/>
          <w:iCs/>
          <w:lang w:val="en-GB"/>
        </w:rPr>
        <w:t xml:space="preserve">16. Geographical distribution and number of courts/jurisdictions (“judicial map”) and their specialisation </w:t>
      </w:r>
    </w:p>
    <w:p w:rsidR="001B7CA2" w:rsidRPr="004A1A0C" w:rsidRDefault="001B7CA2" w:rsidP="001B7CA2">
      <w:pPr>
        <w:rPr>
          <w:rFonts w:cstheme="minorHAnsi"/>
          <w:lang w:val="en-GB"/>
        </w:rPr>
      </w:pPr>
      <w:r w:rsidRPr="004A1A0C">
        <w:rPr>
          <w:rFonts w:cstheme="minorHAnsi"/>
          <w:b/>
          <w:bCs/>
          <w:i/>
          <w:iCs/>
          <w:lang w:val="en-GB"/>
        </w:rPr>
        <w:t xml:space="preserve">C. Efficiency of the justice system </w:t>
      </w:r>
    </w:p>
    <w:p w:rsidR="001B7CA2" w:rsidRPr="004A1A0C" w:rsidRDefault="001B7CA2" w:rsidP="001B7CA2">
      <w:pPr>
        <w:rPr>
          <w:rFonts w:cstheme="minorHAnsi"/>
          <w:i/>
          <w:iCs/>
          <w:lang w:val="en-GB"/>
        </w:rPr>
      </w:pPr>
      <w:r w:rsidRPr="004A1A0C">
        <w:rPr>
          <w:rFonts w:cstheme="minorHAnsi"/>
          <w:i/>
          <w:iCs/>
          <w:lang w:val="en-GB"/>
        </w:rPr>
        <w:t xml:space="preserve">17. Length of proceedings </w:t>
      </w:r>
    </w:p>
    <w:p w:rsidR="006337F3" w:rsidRPr="004A1A0C" w:rsidRDefault="001B7CA2" w:rsidP="006337F3">
      <w:pPr>
        <w:rPr>
          <w:rFonts w:cstheme="minorHAnsi"/>
          <w:bCs/>
          <w:i/>
          <w:iCs/>
          <w:lang w:val="en-GB"/>
        </w:rPr>
      </w:pPr>
      <w:r w:rsidRPr="004A1A0C">
        <w:rPr>
          <w:rFonts w:cstheme="minorHAnsi"/>
          <w:b/>
          <w:bCs/>
          <w:i/>
          <w:iCs/>
          <w:lang w:val="en-GB"/>
        </w:rPr>
        <w:t xml:space="preserve">Other – please specify </w:t>
      </w:r>
    </w:p>
    <w:p w:rsidR="001B7CA2" w:rsidRPr="004A1A0C" w:rsidRDefault="001B7CA2" w:rsidP="001B7CA2">
      <w:pPr>
        <w:rPr>
          <w:rFonts w:cstheme="minorHAnsi"/>
          <w:lang w:val="en-GB"/>
        </w:rPr>
      </w:pPr>
      <w:r w:rsidRPr="004A1A0C">
        <w:rPr>
          <w:rFonts w:cstheme="minorHAnsi"/>
          <w:b/>
          <w:bCs/>
          <w:lang w:val="en-GB"/>
        </w:rPr>
        <w:t xml:space="preserve">II. Anti-corruption framework </w:t>
      </w:r>
    </w:p>
    <w:p w:rsidR="001B7CA2" w:rsidRPr="004A1A0C" w:rsidRDefault="001B7CA2" w:rsidP="001B7CA2">
      <w:pPr>
        <w:rPr>
          <w:rFonts w:cstheme="minorHAnsi"/>
          <w:lang w:val="en-GB"/>
        </w:rPr>
      </w:pPr>
      <w:r w:rsidRPr="004A1A0C">
        <w:rPr>
          <w:rFonts w:cstheme="minorHAnsi"/>
          <w:b/>
          <w:bCs/>
          <w:i/>
          <w:iCs/>
          <w:lang w:val="en-GB"/>
        </w:rPr>
        <w:lastRenderedPageBreak/>
        <w:t xml:space="preserve">A. The institutional framework capacity to fight against corruption (prevention and investigation / prosecution) </w:t>
      </w:r>
    </w:p>
    <w:p w:rsidR="00304D44" w:rsidRPr="004A1A0C" w:rsidRDefault="001B7CA2" w:rsidP="005746B8">
      <w:pPr>
        <w:rPr>
          <w:rFonts w:cstheme="minorHAnsi"/>
          <w:iCs/>
          <w:lang w:val="en-GB"/>
        </w:rPr>
      </w:pPr>
      <w:r w:rsidRPr="004A1A0C">
        <w:rPr>
          <w:rFonts w:cstheme="minorHAnsi"/>
          <w:i/>
          <w:iCs/>
          <w:lang w:val="en-GB"/>
        </w:rPr>
        <w:t xml:space="preserve">18. List of relevant authorities (e.g. national agencies, bodies) in charge of prevention detection, investigation and prosecution of corruption. Please indicate the resources allocated to these (the human, financial, legal, and practical resources as relevant), e.g. in table format. </w:t>
      </w:r>
    </w:p>
    <w:p w:rsidR="001B7CA2" w:rsidRPr="004A1A0C" w:rsidRDefault="001B7CA2" w:rsidP="001B7CA2">
      <w:pPr>
        <w:rPr>
          <w:rFonts w:cstheme="minorHAnsi"/>
          <w:lang w:val="en-GB"/>
        </w:rPr>
      </w:pPr>
      <w:r w:rsidRPr="004A1A0C">
        <w:rPr>
          <w:rFonts w:cstheme="minorHAnsi"/>
          <w:b/>
          <w:bCs/>
          <w:i/>
          <w:iCs/>
          <w:lang w:val="en-GB"/>
        </w:rPr>
        <w:t xml:space="preserve">B. Prevention </w:t>
      </w:r>
    </w:p>
    <w:p w:rsidR="001B7CA2" w:rsidRPr="004A1A0C" w:rsidRDefault="001B7CA2" w:rsidP="001B7CA2">
      <w:pPr>
        <w:rPr>
          <w:rFonts w:cstheme="minorHAnsi"/>
          <w:lang w:val="en-GB"/>
        </w:rPr>
      </w:pPr>
      <w:r w:rsidRPr="004A1A0C">
        <w:rPr>
          <w:rFonts w:cstheme="minorHAnsi"/>
          <w:i/>
          <w:iCs/>
          <w:lang w:val="en-GB"/>
        </w:rPr>
        <w:t xml:space="preserve">19. Integrity framework including incompatibility rules (e.g.: revolving doors) </w:t>
      </w:r>
    </w:p>
    <w:p w:rsidR="001B7CA2" w:rsidRPr="004A1A0C" w:rsidRDefault="001B7CA2" w:rsidP="001B7CA2">
      <w:pPr>
        <w:rPr>
          <w:rFonts w:cstheme="minorHAnsi"/>
          <w:iCs/>
          <w:lang w:val="en-GB"/>
        </w:rPr>
      </w:pPr>
      <w:r w:rsidRPr="004A1A0C">
        <w:rPr>
          <w:rFonts w:cstheme="minorHAnsi"/>
          <w:i/>
          <w:iCs/>
          <w:lang w:val="en-GB"/>
        </w:rPr>
        <w:t xml:space="preserve">20. General transparency of public decision-making (including public access to information such as lobbying, asset disclosure rules and transparency of political party financing) </w:t>
      </w:r>
    </w:p>
    <w:p w:rsidR="001B7CA2" w:rsidRPr="004A1A0C" w:rsidRDefault="001B7CA2" w:rsidP="001B7CA2">
      <w:pPr>
        <w:rPr>
          <w:rFonts w:cstheme="minorHAnsi"/>
          <w:lang w:val="en-GB"/>
        </w:rPr>
      </w:pPr>
      <w:r w:rsidRPr="004A1A0C">
        <w:rPr>
          <w:rFonts w:cstheme="minorHAnsi"/>
          <w:i/>
          <w:iCs/>
          <w:lang w:val="en-GB"/>
        </w:rPr>
        <w:t xml:space="preserve">21. Rules on preventing conflict of interests in the public sector </w:t>
      </w:r>
    </w:p>
    <w:p w:rsidR="001B7CA2" w:rsidRPr="004A1A0C" w:rsidRDefault="001B7CA2" w:rsidP="001B7CA2">
      <w:pPr>
        <w:rPr>
          <w:rFonts w:cstheme="minorHAnsi"/>
          <w:lang w:val="en-GB"/>
        </w:rPr>
      </w:pPr>
      <w:r w:rsidRPr="004A1A0C">
        <w:rPr>
          <w:rFonts w:cstheme="minorHAnsi"/>
          <w:i/>
          <w:iCs/>
          <w:lang w:val="en-GB"/>
        </w:rPr>
        <w:t xml:space="preserve">22. Measures in place to ensure whistleblower protection and encourage reporting of corruption </w:t>
      </w:r>
    </w:p>
    <w:p w:rsidR="001B7CA2" w:rsidRPr="004A1A0C" w:rsidRDefault="001B7CA2" w:rsidP="001B7CA2">
      <w:pPr>
        <w:rPr>
          <w:rFonts w:cstheme="minorHAnsi"/>
          <w:lang w:val="en-GB"/>
        </w:rPr>
      </w:pPr>
      <w:r w:rsidRPr="004A1A0C">
        <w:rPr>
          <w:rFonts w:cstheme="minorHAnsi"/>
          <w:i/>
          <w:iCs/>
          <w:lang w:val="en-GB"/>
        </w:rPr>
        <w:t xml:space="preserve">23. List the sectors with high-risks of corruption in your Member State and list the relevant measures taken/envisaged for preventing corruption and conflict of interest in these sectors. (e.g. public procurement, healthcare, other). </w:t>
      </w:r>
    </w:p>
    <w:p w:rsidR="001B7CA2" w:rsidRPr="004A1A0C" w:rsidRDefault="001B7CA2" w:rsidP="001B7CA2">
      <w:pPr>
        <w:rPr>
          <w:rFonts w:cstheme="minorHAnsi"/>
          <w:lang w:val="en-GB"/>
        </w:rPr>
      </w:pPr>
      <w:r w:rsidRPr="004A1A0C">
        <w:rPr>
          <w:rFonts w:cstheme="minorHAnsi"/>
          <w:i/>
          <w:iCs/>
          <w:lang w:val="en-GB"/>
        </w:rPr>
        <w:t xml:space="preserve">24. Measures taken to address corruption risks in the context of the COVID-19 pandemic. </w:t>
      </w:r>
    </w:p>
    <w:p w:rsidR="001B7CA2" w:rsidRPr="004A1A0C" w:rsidRDefault="001B7CA2" w:rsidP="001B7CA2">
      <w:pPr>
        <w:rPr>
          <w:rFonts w:cstheme="minorHAnsi"/>
          <w:i/>
          <w:iCs/>
          <w:lang w:val="en-GB"/>
        </w:rPr>
      </w:pPr>
      <w:r w:rsidRPr="004A1A0C">
        <w:rPr>
          <w:rFonts w:cstheme="minorHAnsi"/>
          <w:i/>
          <w:iCs/>
          <w:lang w:val="en-GB"/>
        </w:rPr>
        <w:t xml:space="preserve">25. Any other relevant measures to prevent corruption in public and private sector </w:t>
      </w:r>
    </w:p>
    <w:p w:rsidR="001B7CA2" w:rsidRPr="004A1A0C" w:rsidRDefault="001B7CA2" w:rsidP="001B7CA2">
      <w:pPr>
        <w:rPr>
          <w:rFonts w:cstheme="minorHAnsi"/>
          <w:lang w:val="en-GB"/>
        </w:rPr>
      </w:pPr>
      <w:r w:rsidRPr="004A1A0C">
        <w:rPr>
          <w:rFonts w:cstheme="minorHAnsi"/>
          <w:b/>
          <w:bCs/>
          <w:i/>
          <w:iCs/>
          <w:lang w:val="en-GB"/>
        </w:rPr>
        <w:t xml:space="preserve">C. Repressive measures </w:t>
      </w:r>
    </w:p>
    <w:p w:rsidR="001B7CA2" w:rsidRPr="004A1A0C" w:rsidRDefault="001B7CA2" w:rsidP="001B7CA2">
      <w:pPr>
        <w:rPr>
          <w:rFonts w:cstheme="minorHAnsi"/>
          <w:lang w:val="en-GB"/>
        </w:rPr>
      </w:pPr>
      <w:r w:rsidRPr="004A1A0C">
        <w:rPr>
          <w:rFonts w:cstheme="minorHAnsi"/>
          <w:i/>
          <w:iCs/>
          <w:lang w:val="en-GB"/>
        </w:rPr>
        <w:t xml:space="preserve">26. Criminalisation of corruption and related offences </w:t>
      </w:r>
    </w:p>
    <w:p w:rsidR="001B7CA2" w:rsidRPr="004A1A0C" w:rsidRDefault="001B7CA2" w:rsidP="001B7CA2">
      <w:pPr>
        <w:rPr>
          <w:rFonts w:cstheme="minorHAnsi"/>
          <w:lang w:val="en-GB"/>
        </w:rPr>
      </w:pPr>
      <w:r w:rsidRPr="004A1A0C">
        <w:rPr>
          <w:rFonts w:cstheme="minorHAnsi"/>
          <w:i/>
          <w:iCs/>
          <w:lang w:val="en-GB"/>
        </w:rPr>
        <w:t xml:space="preserve">27. Data on investigation and application of sanctions for corruption offences (including for legal persons and high level and complex corruption cases) and their transparency, including as regards to the implementation of EU funds. </w:t>
      </w:r>
    </w:p>
    <w:p w:rsidR="001B7CA2" w:rsidRPr="004A1A0C" w:rsidRDefault="001B7CA2" w:rsidP="001B7CA2">
      <w:pPr>
        <w:rPr>
          <w:rFonts w:cstheme="minorHAnsi"/>
          <w:iCs/>
          <w:lang w:val="en-GB"/>
        </w:rPr>
      </w:pPr>
      <w:r w:rsidRPr="004A1A0C">
        <w:rPr>
          <w:rFonts w:cstheme="minorHAnsi"/>
          <w:i/>
          <w:iCs/>
          <w:lang w:val="en-GB"/>
        </w:rPr>
        <w:t xml:space="preserve">28. Potential obstacles to investigation and prosecution of high-level and complex corruption cases (e.g. political immunity regulation) </w:t>
      </w:r>
    </w:p>
    <w:p w:rsidR="001B7CA2" w:rsidRPr="004A1A0C" w:rsidRDefault="001B7CA2" w:rsidP="001B7CA2">
      <w:pPr>
        <w:rPr>
          <w:rFonts w:cstheme="minorHAnsi"/>
          <w:bCs/>
          <w:iCs/>
          <w:lang w:val="en-GB"/>
        </w:rPr>
      </w:pPr>
      <w:r w:rsidRPr="004A1A0C">
        <w:rPr>
          <w:rFonts w:cstheme="minorHAnsi"/>
          <w:b/>
          <w:bCs/>
          <w:i/>
          <w:iCs/>
          <w:lang w:val="en-GB"/>
        </w:rPr>
        <w:t xml:space="preserve">Other – please specify </w:t>
      </w:r>
    </w:p>
    <w:p w:rsidR="001B7CA2" w:rsidRPr="004A1A0C" w:rsidRDefault="001B7CA2" w:rsidP="001B7CA2">
      <w:pPr>
        <w:rPr>
          <w:rFonts w:cstheme="minorHAnsi"/>
          <w:lang w:val="en-GB"/>
        </w:rPr>
      </w:pPr>
      <w:r w:rsidRPr="004A1A0C">
        <w:rPr>
          <w:rFonts w:cstheme="minorHAnsi"/>
          <w:b/>
          <w:bCs/>
          <w:lang w:val="en-GB"/>
        </w:rPr>
        <w:t xml:space="preserve">III. Media pluralism </w:t>
      </w:r>
    </w:p>
    <w:p w:rsidR="001B7CA2" w:rsidRPr="004A1A0C" w:rsidRDefault="001B7CA2" w:rsidP="001B7CA2">
      <w:pPr>
        <w:rPr>
          <w:rFonts w:cstheme="minorHAnsi"/>
          <w:lang w:val="en-GB"/>
        </w:rPr>
      </w:pPr>
      <w:r w:rsidRPr="004A1A0C">
        <w:rPr>
          <w:rFonts w:cstheme="minorHAnsi"/>
          <w:b/>
          <w:bCs/>
          <w:i/>
          <w:iCs/>
          <w:lang w:val="en-GB"/>
        </w:rPr>
        <w:t xml:space="preserve">A. Media authorities and bodies </w:t>
      </w:r>
    </w:p>
    <w:p w:rsidR="001B7CA2" w:rsidRPr="004A1A0C" w:rsidRDefault="001B7CA2" w:rsidP="001B7CA2">
      <w:pPr>
        <w:rPr>
          <w:rFonts w:cstheme="minorHAnsi"/>
          <w:lang w:val="en-GB"/>
        </w:rPr>
      </w:pPr>
      <w:r w:rsidRPr="004A1A0C">
        <w:rPr>
          <w:rFonts w:cstheme="minorHAnsi"/>
          <w:i/>
          <w:iCs/>
          <w:lang w:val="en-GB"/>
        </w:rPr>
        <w:t xml:space="preserve">29. Independence, enforcement powers and adequacy of resources of media regulatory authorities and bodies </w:t>
      </w:r>
    </w:p>
    <w:p w:rsidR="001B7CA2" w:rsidRPr="004A1A0C" w:rsidRDefault="001B7CA2" w:rsidP="001B7CA2">
      <w:pPr>
        <w:rPr>
          <w:rFonts w:cstheme="minorHAnsi"/>
          <w:lang w:val="en-GB"/>
        </w:rPr>
      </w:pPr>
      <w:r w:rsidRPr="004A1A0C">
        <w:rPr>
          <w:rFonts w:cstheme="minorHAnsi"/>
          <w:i/>
          <w:iCs/>
          <w:lang w:val="en-GB"/>
        </w:rPr>
        <w:t xml:space="preserve">30. Conditions and procedures for the appointment and dismissal of the head / members of the collegiate body of media regulatory authorities and bodies </w:t>
      </w:r>
    </w:p>
    <w:p w:rsidR="001B7CA2" w:rsidRPr="004A1A0C" w:rsidRDefault="001B7CA2" w:rsidP="001B7CA2">
      <w:pPr>
        <w:rPr>
          <w:rFonts w:cstheme="minorHAnsi"/>
          <w:lang w:val="en-GB"/>
        </w:rPr>
      </w:pPr>
      <w:r w:rsidRPr="004A1A0C">
        <w:rPr>
          <w:rFonts w:cstheme="minorHAnsi"/>
          <w:i/>
          <w:iCs/>
          <w:lang w:val="en-GB"/>
        </w:rPr>
        <w:t xml:space="preserve">31. Existence and functions of media councils or other self-regulatory bodies </w:t>
      </w:r>
    </w:p>
    <w:p w:rsidR="001B7CA2" w:rsidRPr="004A1A0C" w:rsidRDefault="001B7CA2" w:rsidP="001B7CA2">
      <w:pPr>
        <w:rPr>
          <w:rFonts w:cstheme="minorHAnsi"/>
          <w:lang w:val="en-GB"/>
        </w:rPr>
      </w:pPr>
      <w:r w:rsidRPr="004A1A0C">
        <w:rPr>
          <w:rFonts w:cstheme="minorHAnsi"/>
          <w:b/>
          <w:bCs/>
          <w:i/>
          <w:iCs/>
          <w:lang w:val="en-GB"/>
        </w:rPr>
        <w:t xml:space="preserve">B. Transparency of media ownership and government interference </w:t>
      </w:r>
    </w:p>
    <w:p w:rsidR="001B7CA2" w:rsidRPr="004A1A0C" w:rsidRDefault="001B7CA2" w:rsidP="001B7CA2">
      <w:pPr>
        <w:rPr>
          <w:rFonts w:cstheme="minorHAnsi"/>
          <w:lang w:val="en-GB"/>
        </w:rPr>
      </w:pPr>
      <w:r w:rsidRPr="004A1A0C">
        <w:rPr>
          <w:rFonts w:cstheme="minorHAnsi"/>
          <w:i/>
          <w:iCs/>
          <w:lang w:val="en-GB"/>
        </w:rPr>
        <w:t xml:space="preserve">32. The transparent allocation of state advertising (including any rules regulating the matter); other safeguards against state / political interference </w:t>
      </w:r>
    </w:p>
    <w:p w:rsidR="001B7CA2" w:rsidRPr="004A1A0C" w:rsidRDefault="001B7CA2" w:rsidP="001B7CA2">
      <w:pPr>
        <w:rPr>
          <w:rFonts w:cstheme="minorHAnsi"/>
          <w:lang w:val="en-GB"/>
        </w:rPr>
      </w:pPr>
      <w:r w:rsidRPr="004A1A0C">
        <w:rPr>
          <w:rFonts w:cstheme="minorHAnsi"/>
          <w:i/>
          <w:iCs/>
          <w:lang w:val="en-GB"/>
        </w:rPr>
        <w:t xml:space="preserve">33. Rules governing transparency of media ownership and public availability of media ownership information </w:t>
      </w:r>
    </w:p>
    <w:p w:rsidR="001B7CA2" w:rsidRPr="004A1A0C" w:rsidRDefault="001B7CA2" w:rsidP="001B7CA2">
      <w:pPr>
        <w:rPr>
          <w:rFonts w:cstheme="minorHAnsi"/>
          <w:lang w:val="en-GB"/>
        </w:rPr>
      </w:pPr>
      <w:r w:rsidRPr="004A1A0C">
        <w:rPr>
          <w:rFonts w:cstheme="minorHAnsi"/>
          <w:b/>
          <w:bCs/>
          <w:i/>
          <w:iCs/>
          <w:lang w:val="en-GB"/>
        </w:rPr>
        <w:lastRenderedPageBreak/>
        <w:t xml:space="preserve">C. Framework for journalists' protection </w:t>
      </w:r>
    </w:p>
    <w:p w:rsidR="001B7CA2" w:rsidRPr="004A1A0C" w:rsidRDefault="001B7CA2" w:rsidP="001B7CA2">
      <w:pPr>
        <w:rPr>
          <w:rFonts w:cstheme="minorHAnsi"/>
          <w:lang w:val="en-GB"/>
        </w:rPr>
      </w:pPr>
      <w:r w:rsidRPr="004A1A0C">
        <w:rPr>
          <w:rFonts w:cstheme="minorHAnsi"/>
          <w:i/>
          <w:iCs/>
          <w:lang w:val="en-GB"/>
        </w:rPr>
        <w:t xml:space="preserve">34. Rules and practices guaranteeing journalist's independence and safety </w:t>
      </w:r>
    </w:p>
    <w:p w:rsidR="001B7CA2" w:rsidRPr="004A1A0C" w:rsidRDefault="001B7CA2" w:rsidP="001B7CA2">
      <w:pPr>
        <w:rPr>
          <w:rFonts w:cstheme="minorHAnsi"/>
          <w:lang w:val="en-GB"/>
        </w:rPr>
      </w:pPr>
      <w:r w:rsidRPr="004A1A0C">
        <w:rPr>
          <w:rFonts w:cstheme="minorHAnsi"/>
          <w:i/>
          <w:iCs/>
          <w:lang w:val="en-GB"/>
        </w:rPr>
        <w:t xml:space="preserve">35. Law enforcement capacity to ensure journalists' safety and to investigate attacks on journalists </w:t>
      </w:r>
    </w:p>
    <w:p w:rsidR="001B7CA2" w:rsidRPr="004A1A0C" w:rsidRDefault="001B7CA2" w:rsidP="001B7CA2">
      <w:pPr>
        <w:rPr>
          <w:rFonts w:cstheme="minorHAnsi"/>
          <w:lang w:val="en-GB"/>
        </w:rPr>
      </w:pPr>
      <w:r w:rsidRPr="004A1A0C">
        <w:rPr>
          <w:rFonts w:cstheme="minorHAnsi"/>
          <w:i/>
          <w:iCs/>
          <w:lang w:val="en-GB"/>
        </w:rPr>
        <w:t xml:space="preserve">36. Access to information and public documents </w:t>
      </w:r>
    </w:p>
    <w:p w:rsidR="001B7CA2" w:rsidRPr="004A1A0C" w:rsidRDefault="001B7CA2" w:rsidP="001B7CA2">
      <w:pPr>
        <w:rPr>
          <w:rFonts w:cstheme="minorHAnsi"/>
          <w:lang w:val="en-GB"/>
        </w:rPr>
      </w:pPr>
      <w:r w:rsidRPr="004A1A0C">
        <w:rPr>
          <w:rFonts w:cstheme="minorHAnsi"/>
          <w:i/>
          <w:iCs/>
          <w:lang w:val="en-GB"/>
        </w:rPr>
        <w:t xml:space="preserve">37. Lawsuits and convictions against journalists (incl. defamation cases) and safeguards against abuse </w:t>
      </w:r>
    </w:p>
    <w:p w:rsidR="002D2B33" w:rsidRPr="004A1A0C" w:rsidRDefault="001B7CA2" w:rsidP="001B7CA2">
      <w:pPr>
        <w:rPr>
          <w:rFonts w:cstheme="minorHAnsi"/>
          <w:b/>
          <w:bCs/>
          <w:i/>
          <w:iCs/>
          <w:lang w:val="en-GB"/>
        </w:rPr>
      </w:pPr>
      <w:r w:rsidRPr="004A1A0C">
        <w:rPr>
          <w:rFonts w:cstheme="minorHAnsi"/>
          <w:b/>
          <w:bCs/>
          <w:i/>
          <w:iCs/>
          <w:lang w:val="en-GB"/>
        </w:rPr>
        <w:t xml:space="preserve">Other – please specify </w:t>
      </w:r>
    </w:p>
    <w:p w:rsidR="001B7CA2" w:rsidRPr="004A1A0C" w:rsidRDefault="001B7CA2" w:rsidP="001B7CA2">
      <w:pPr>
        <w:rPr>
          <w:rFonts w:cstheme="minorHAnsi"/>
          <w:lang w:val="en-GB"/>
        </w:rPr>
      </w:pPr>
      <w:r w:rsidRPr="004A1A0C">
        <w:rPr>
          <w:rFonts w:cstheme="minorHAnsi"/>
          <w:b/>
          <w:bCs/>
          <w:lang w:val="en-GB"/>
        </w:rPr>
        <w:t xml:space="preserve">IV. Other institutional issues related to checks and balances </w:t>
      </w:r>
    </w:p>
    <w:p w:rsidR="001B7CA2" w:rsidRPr="004A1A0C" w:rsidRDefault="001B7CA2" w:rsidP="001B7CA2">
      <w:pPr>
        <w:rPr>
          <w:rFonts w:cstheme="minorHAnsi"/>
          <w:lang w:val="en-GB"/>
        </w:rPr>
      </w:pPr>
      <w:r w:rsidRPr="004A1A0C">
        <w:rPr>
          <w:rFonts w:cstheme="minorHAnsi"/>
          <w:b/>
          <w:bCs/>
          <w:i/>
          <w:iCs/>
          <w:lang w:val="en-GB"/>
        </w:rPr>
        <w:t xml:space="preserve">A. The process for preparing and enacting laws </w:t>
      </w:r>
    </w:p>
    <w:p w:rsidR="001B7CA2" w:rsidRPr="004A1A0C" w:rsidRDefault="001B7CA2" w:rsidP="001B7CA2">
      <w:pPr>
        <w:rPr>
          <w:rFonts w:cstheme="minorHAnsi"/>
          <w:lang w:val="en-GB"/>
        </w:rPr>
      </w:pPr>
      <w:r w:rsidRPr="004A1A0C">
        <w:rPr>
          <w:rFonts w:cstheme="minorHAnsi"/>
          <w:i/>
          <w:iCs/>
          <w:lang w:val="en-GB"/>
        </w:rPr>
        <w:t xml:space="preserve">38. Framework, policy and use of impact assessments, stakeholders'/public consultations (particularly consultation of judiciary on judicial reforms), and transparency and quality of the legislative process </w:t>
      </w:r>
    </w:p>
    <w:p w:rsidR="001B7CA2" w:rsidRPr="004A1A0C" w:rsidRDefault="001B7CA2" w:rsidP="001B7CA2">
      <w:pPr>
        <w:rPr>
          <w:rFonts w:cstheme="minorHAnsi"/>
          <w:i/>
          <w:iCs/>
          <w:lang w:val="en-GB"/>
        </w:rPr>
      </w:pPr>
      <w:r w:rsidRPr="004A1A0C">
        <w:rPr>
          <w:rFonts w:cstheme="minorHAnsi"/>
          <w:i/>
          <w:iCs/>
          <w:lang w:val="en-GB"/>
        </w:rPr>
        <w:t xml:space="preserve">39. Rules and use of fast-track procedures and emergency procedures (for example, the percentage of decisions adopted through emergency/urgent procedure compared to the total number of adopted decisions) </w:t>
      </w:r>
    </w:p>
    <w:p w:rsidR="001B7CA2" w:rsidRPr="004A1A0C" w:rsidRDefault="001B7CA2" w:rsidP="001B7CA2">
      <w:pPr>
        <w:rPr>
          <w:rFonts w:cstheme="minorHAnsi"/>
          <w:lang w:val="en-GB"/>
        </w:rPr>
      </w:pPr>
      <w:r w:rsidRPr="004A1A0C">
        <w:rPr>
          <w:rFonts w:cstheme="minorHAnsi"/>
          <w:i/>
          <w:iCs/>
          <w:lang w:val="en-GB"/>
        </w:rPr>
        <w:t xml:space="preserve">40. Regime for constitutional review of laws </w:t>
      </w:r>
    </w:p>
    <w:p w:rsidR="0060624C" w:rsidRPr="004A1A0C" w:rsidRDefault="001B7CA2" w:rsidP="001B7CA2">
      <w:pPr>
        <w:rPr>
          <w:rFonts w:cstheme="minorHAnsi"/>
          <w:iCs/>
          <w:lang w:val="en-GB"/>
        </w:rPr>
      </w:pPr>
      <w:r w:rsidRPr="004A1A0C">
        <w:rPr>
          <w:rFonts w:cstheme="minorHAnsi"/>
          <w:i/>
          <w:iCs/>
          <w:lang w:val="en-GB"/>
        </w:rPr>
        <w:t xml:space="preserve">41. COVID-19: provide update on significant developments with regard to emergency regimes in the </w:t>
      </w:r>
      <w:r w:rsidRPr="004A1A0C">
        <w:rPr>
          <w:rFonts w:cstheme="minorHAnsi"/>
          <w:iCs/>
          <w:lang w:val="en-GB"/>
        </w:rPr>
        <w:t>context</w:t>
      </w:r>
      <w:r w:rsidRPr="004A1A0C">
        <w:rPr>
          <w:rFonts w:cstheme="minorHAnsi"/>
          <w:i/>
          <w:iCs/>
          <w:lang w:val="en-GB"/>
        </w:rPr>
        <w:t xml:space="preserve"> of the COVID-19 pandemic </w:t>
      </w:r>
    </w:p>
    <w:p w:rsidR="001B7CA2" w:rsidRPr="004A1A0C" w:rsidRDefault="001B7CA2" w:rsidP="001B7CA2">
      <w:pPr>
        <w:rPr>
          <w:rFonts w:cstheme="minorHAnsi"/>
          <w:lang w:val="en-GB"/>
        </w:rPr>
      </w:pPr>
      <w:r w:rsidRPr="004A1A0C">
        <w:rPr>
          <w:rFonts w:cstheme="minorHAnsi"/>
          <w:lang w:val="en-GB"/>
        </w:rPr>
        <w:t xml:space="preserve">- </w:t>
      </w:r>
      <w:r w:rsidRPr="004A1A0C">
        <w:rPr>
          <w:rFonts w:cstheme="minorHAnsi"/>
          <w:i/>
          <w:iCs/>
          <w:lang w:val="en-GB"/>
        </w:rPr>
        <w:t xml:space="preserve">judicial review (including constitutional review) of emergency regimes and measures in the context of COVID-19 pandemic </w:t>
      </w:r>
    </w:p>
    <w:p w:rsidR="001B7CA2" w:rsidRPr="004A1A0C" w:rsidRDefault="001B7CA2" w:rsidP="001B7CA2">
      <w:pPr>
        <w:rPr>
          <w:rFonts w:cstheme="minorHAnsi"/>
          <w:lang w:val="en-GB"/>
        </w:rPr>
      </w:pPr>
      <w:r w:rsidRPr="004A1A0C">
        <w:rPr>
          <w:rFonts w:cstheme="minorHAnsi"/>
          <w:lang w:val="en-GB"/>
        </w:rPr>
        <w:t xml:space="preserve">- </w:t>
      </w:r>
      <w:r w:rsidRPr="004A1A0C">
        <w:rPr>
          <w:rFonts w:cstheme="minorHAnsi"/>
          <w:i/>
          <w:iCs/>
          <w:lang w:val="en-GB"/>
        </w:rPr>
        <w:t xml:space="preserve">oversight by Parliament of emergency regimes and measures in the context of COVID-19 pandemic </w:t>
      </w:r>
    </w:p>
    <w:p w:rsidR="001B7CA2" w:rsidRPr="004A1A0C" w:rsidRDefault="001B7CA2" w:rsidP="001B7CA2">
      <w:pPr>
        <w:rPr>
          <w:rFonts w:cstheme="minorHAnsi"/>
          <w:lang w:val="en-GB"/>
        </w:rPr>
      </w:pPr>
      <w:r w:rsidRPr="004A1A0C">
        <w:rPr>
          <w:rFonts w:cstheme="minorHAnsi"/>
          <w:lang w:val="en-GB"/>
        </w:rPr>
        <w:t xml:space="preserve">- </w:t>
      </w:r>
      <w:r w:rsidRPr="004A1A0C">
        <w:rPr>
          <w:rFonts w:cstheme="minorHAnsi"/>
          <w:i/>
          <w:iCs/>
          <w:lang w:val="en-GB"/>
        </w:rPr>
        <w:t xml:space="preserve">measures taken to ensure the continued activity of Parliament (including possible best practices) </w:t>
      </w:r>
    </w:p>
    <w:p w:rsidR="001B7CA2" w:rsidRPr="004A1A0C" w:rsidRDefault="001B7CA2" w:rsidP="001B7CA2">
      <w:pPr>
        <w:rPr>
          <w:rFonts w:cstheme="minorHAnsi"/>
          <w:lang w:val="en-GB"/>
        </w:rPr>
      </w:pPr>
      <w:r w:rsidRPr="004A1A0C">
        <w:rPr>
          <w:rFonts w:cstheme="minorHAnsi"/>
          <w:b/>
          <w:bCs/>
          <w:i/>
          <w:iCs/>
          <w:lang w:val="en-GB"/>
        </w:rPr>
        <w:t xml:space="preserve">B. Independent authorities </w:t>
      </w:r>
    </w:p>
    <w:p w:rsidR="00775D96" w:rsidRPr="004A1A0C" w:rsidRDefault="001B7CA2" w:rsidP="00747ABD">
      <w:pPr>
        <w:rPr>
          <w:rFonts w:cstheme="minorHAnsi"/>
          <w:i/>
          <w:iCs/>
          <w:lang w:val="en-GB"/>
        </w:rPr>
      </w:pPr>
      <w:r w:rsidRPr="004A1A0C">
        <w:rPr>
          <w:rFonts w:cstheme="minorHAnsi"/>
          <w:i/>
          <w:iCs/>
          <w:lang w:val="en-GB"/>
        </w:rPr>
        <w:t>42. Independence, capacity and powers of national human rights institutions (‘NHRIs’), of ombudsman institutions if different from NHRIs, of equality bodies if different from NHRIs and of supreme audit institutions</w:t>
      </w:r>
    </w:p>
    <w:p w:rsidR="001B7CA2" w:rsidRPr="004A1A0C" w:rsidRDefault="001B7CA2" w:rsidP="004B2FFA">
      <w:pPr>
        <w:jc w:val="both"/>
        <w:rPr>
          <w:rFonts w:cstheme="minorHAnsi"/>
          <w:lang w:val="en-GB"/>
        </w:rPr>
      </w:pPr>
      <w:r w:rsidRPr="004A1A0C">
        <w:rPr>
          <w:rFonts w:cstheme="minorHAnsi"/>
          <w:b/>
          <w:bCs/>
          <w:i/>
          <w:iCs/>
          <w:lang w:val="en-GB"/>
        </w:rPr>
        <w:t xml:space="preserve">C. Accessibility and judicial review of administrative decisions </w:t>
      </w:r>
    </w:p>
    <w:p w:rsidR="001B7CA2" w:rsidRPr="004A1A0C" w:rsidRDefault="001B7CA2" w:rsidP="001B7CA2">
      <w:pPr>
        <w:rPr>
          <w:rFonts w:cstheme="minorHAnsi"/>
          <w:lang w:val="en-GB"/>
        </w:rPr>
      </w:pPr>
      <w:r w:rsidRPr="004A1A0C">
        <w:rPr>
          <w:rFonts w:cstheme="minorHAnsi"/>
          <w:i/>
          <w:iCs/>
          <w:lang w:val="en-GB"/>
        </w:rPr>
        <w:t xml:space="preserve">43. Transparency of administrative decisions and sanctions (incl. their publication and rules on collection of related data) and judicial review (incl. scope, suspensive effect) </w:t>
      </w:r>
    </w:p>
    <w:p w:rsidR="001B7CA2" w:rsidRPr="004A1A0C" w:rsidRDefault="001B7CA2" w:rsidP="001B7CA2">
      <w:pPr>
        <w:rPr>
          <w:rFonts w:cstheme="minorHAnsi"/>
          <w:lang w:val="en-GB"/>
        </w:rPr>
      </w:pPr>
      <w:r w:rsidRPr="004A1A0C">
        <w:rPr>
          <w:rFonts w:cstheme="minorHAnsi"/>
          <w:i/>
          <w:iCs/>
          <w:lang w:val="en-GB"/>
        </w:rPr>
        <w:t xml:space="preserve">44. Implementation by the public administration and State institutions of final court decisions </w:t>
      </w:r>
    </w:p>
    <w:p w:rsidR="001B7CA2" w:rsidRPr="004A1A0C" w:rsidRDefault="001B7CA2" w:rsidP="001B7CA2">
      <w:pPr>
        <w:rPr>
          <w:rFonts w:cstheme="minorHAnsi"/>
          <w:lang w:val="en-GB"/>
        </w:rPr>
      </w:pPr>
      <w:r w:rsidRPr="004A1A0C">
        <w:rPr>
          <w:rFonts w:cstheme="minorHAnsi"/>
          <w:b/>
          <w:bCs/>
          <w:i/>
          <w:iCs/>
          <w:lang w:val="en-GB"/>
        </w:rPr>
        <w:t xml:space="preserve">D. The enabling framework for civil society </w:t>
      </w:r>
    </w:p>
    <w:p w:rsidR="001B7CA2" w:rsidRPr="004A1A0C" w:rsidRDefault="001B7CA2" w:rsidP="001B7CA2">
      <w:pPr>
        <w:rPr>
          <w:rFonts w:cstheme="minorHAnsi"/>
          <w:i/>
          <w:iCs/>
          <w:lang w:val="en-GB"/>
        </w:rPr>
      </w:pPr>
      <w:r w:rsidRPr="004A1A0C">
        <w:rPr>
          <w:rFonts w:cstheme="minorHAnsi"/>
          <w:i/>
          <w:iCs/>
          <w:lang w:val="en-GB"/>
        </w:rPr>
        <w:t xml:space="preserve">45. Measures regarding the framework for civil society organisations (e.g. access to funding, registration rules, measures capable of affecting the public perception of civil society organisations, etc.) </w:t>
      </w:r>
    </w:p>
    <w:p w:rsidR="00D35173" w:rsidRPr="004A1A0C" w:rsidRDefault="00D35173" w:rsidP="00D35173">
      <w:pPr>
        <w:jc w:val="both"/>
        <w:rPr>
          <w:rFonts w:cstheme="minorHAnsi"/>
          <w:iCs/>
          <w:lang w:val="en-US"/>
        </w:rPr>
      </w:pPr>
      <w:r w:rsidRPr="004A1A0C">
        <w:rPr>
          <w:rFonts w:cstheme="minorHAnsi"/>
          <w:iCs/>
          <w:lang w:val="en-US"/>
        </w:rPr>
        <w:t xml:space="preserve">In her February 2021 global update to the UN Human Rights Council, the UN High Commissioner for Human Rights expressed concern about measures in several EU countries restricting the work of organizations that protect migrants’ rights and deliver life-saving assistance. She noted that in Croatia, </w:t>
      </w:r>
      <w:r w:rsidRPr="004A1A0C">
        <w:rPr>
          <w:rFonts w:cstheme="minorHAnsi"/>
          <w:iCs/>
          <w:lang w:val="en-US"/>
        </w:rPr>
        <w:lastRenderedPageBreak/>
        <w:t>the authorities had sought to hinder public scrutiny of migration practices by denying access to the ombudswoman and human rights organisations, and discrediting their reports. At the end of January 2021, the Croatian authorities had blocked Members of the European Parliament from visiting border areas with Bosnia and Herzegovina, amid credible allegations of human rights violations. She emphasized that civil society and independent monitoring were fundamental to the health of all societies and encouraged the European Union and Member States to ensure that this trend of shrinking civic space be reversed, and to establish adequate protections, including through the EU Pact on Asylum and Migration. (</w:t>
      </w:r>
      <w:hyperlink r:id="rId8" w:history="1">
        <w:r w:rsidRPr="004A1A0C">
          <w:rPr>
            <w:rStyle w:val="Hyperlink"/>
            <w:rFonts w:cstheme="minorHAnsi"/>
            <w:iCs/>
            <w:lang w:val="en-US"/>
          </w:rPr>
          <w:t>www.ohchr.org/EN/NewsEvents/Pages/DisplayNews.aspx?NewsID=26806&amp;LangID=E</w:t>
        </w:r>
      </w:hyperlink>
      <w:r w:rsidRPr="004A1A0C">
        <w:rPr>
          <w:rFonts w:cstheme="minorHAnsi"/>
          <w:iCs/>
          <w:lang w:val="en-US"/>
        </w:rPr>
        <w:t xml:space="preserve"> ). </w:t>
      </w:r>
    </w:p>
    <w:p w:rsidR="00D35173" w:rsidRPr="004A1A0C" w:rsidRDefault="00D35173" w:rsidP="00D35173">
      <w:pPr>
        <w:jc w:val="both"/>
        <w:rPr>
          <w:rFonts w:cstheme="minorHAnsi"/>
          <w:iCs/>
          <w:lang w:val="en-US"/>
        </w:rPr>
      </w:pPr>
      <w:r w:rsidRPr="004A1A0C">
        <w:rPr>
          <w:rFonts w:cstheme="minorHAnsi"/>
          <w:iCs/>
          <w:lang w:val="en-US"/>
        </w:rPr>
        <w:t>In June 2020, several Special P</w:t>
      </w:r>
      <w:r w:rsidR="004A1A0C">
        <w:rPr>
          <w:rFonts w:cstheme="minorHAnsi"/>
          <w:iCs/>
          <w:lang w:val="en-US"/>
        </w:rPr>
        <w:t xml:space="preserve">rocedures mandate-holders </w:t>
      </w:r>
      <w:r w:rsidRPr="004A1A0C">
        <w:rPr>
          <w:rFonts w:cstheme="minorHAnsi"/>
          <w:iCs/>
          <w:lang w:val="en-US"/>
        </w:rPr>
        <w:t xml:space="preserve">initiated a dialogue with Croatia </w:t>
      </w:r>
      <w:r w:rsidR="004A1A0C" w:rsidRPr="004A1A0C">
        <w:rPr>
          <w:rFonts w:cstheme="minorHAnsi"/>
          <w:iCs/>
          <w:lang w:val="en-US"/>
        </w:rPr>
        <w:t>expressing concern about</w:t>
      </w:r>
      <w:r w:rsidR="004A1A0C">
        <w:rPr>
          <w:rFonts w:cstheme="minorHAnsi"/>
          <w:iCs/>
          <w:lang w:val="en-US"/>
        </w:rPr>
        <w:t xml:space="preserve"> new</w:t>
      </w:r>
      <w:r w:rsidR="004A1A0C" w:rsidRPr="004A1A0C">
        <w:rPr>
          <w:rFonts w:cstheme="minorHAnsi"/>
          <w:iCs/>
          <w:lang w:val="en-US"/>
        </w:rPr>
        <w:t xml:space="preserve"> information they had received regarding alleged </w:t>
      </w:r>
      <w:r w:rsidR="004A1A0C" w:rsidRPr="004A1A0C">
        <w:rPr>
          <w:rFonts w:cstheme="minorHAnsi"/>
          <w:lang w:val="en-US"/>
        </w:rPr>
        <w:t>violent pushback of migrants by the Croatian police to Bosnia and Herzegovina outside official procedures</w:t>
      </w:r>
      <w:r w:rsidR="004A1A0C" w:rsidRPr="004A1A0C">
        <w:rPr>
          <w:rFonts w:cstheme="minorHAnsi"/>
          <w:iCs/>
          <w:lang w:val="en-US"/>
        </w:rPr>
        <w:t xml:space="preserve">, and reports of a </w:t>
      </w:r>
      <w:r w:rsidR="004A1A0C" w:rsidRPr="004A1A0C">
        <w:rPr>
          <w:rFonts w:cstheme="minorHAnsi"/>
          <w:lang w:val="en-US"/>
        </w:rPr>
        <w:t xml:space="preserve">significant </w:t>
      </w:r>
      <w:bookmarkStart w:id="0" w:name="_GoBack"/>
      <w:bookmarkEnd w:id="0"/>
      <w:r w:rsidR="004A1A0C" w:rsidRPr="004A1A0C">
        <w:rPr>
          <w:rFonts w:cstheme="minorHAnsi"/>
          <w:lang w:val="en-US"/>
        </w:rPr>
        <w:t>increase in the number of recorded cases of pushback</w:t>
      </w:r>
      <w:r w:rsidR="00FA5325">
        <w:rPr>
          <w:rFonts w:cstheme="minorHAnsi"/>
          <w:lang w:val="en-US"/>
        </w:rPr>
        <w:t>s</w:t>
      </w:r>
      <w:r w:rsidR="004A1A0C" w:rsidRPr="004A1A0C">
        <w:rPr>
          <w:rFonts w:cstheme="minorHAnsi"/>
          <w:lang w:val="en-US"/>
        </w:rPr>
        <w:t xml:space="preserve"> by Croatian police in recent months. Such information came in addition to </w:t>
      </w:r>
      <w:r w:rsidR="004A1A0C">
        <w:rPr>
          <w:rFonts w:cstheme="minorHAnsi"/>
          <w:lang w:val="en-US"/>
        </w:rPr>
        <w:t>earlier information</w:t>
      </w:r>
      <w:r w:rsidR="004A1A0C" w:rsidRPr="004A1A0C">
        <w:rPr>
          <w:rFonts w:cstheme="minorHAnsi"/>
          <w:lang w:val="en-US"/>
        </w:rPr>
        <w:t xml:space="preserve"> received on the same matter by the </w:t>
      </w:r>
      <w:r w:rsidR="004A1A0C">
        <w:rPr>
          <w:rFonts w:cstheme="minorHAnsi"/>
          <w:lang w:val="en-US"/>
        </w:rPr>
        <w:t xml:space="preserve">UN </w:t>
      </w:r>
      <w:r w:rsidR="004A1A0C" w:rsidRPr="004A1A0C">
        <w:rPr>
          <w:rFonts w:cstheme="minorHAnsi"/>
          <w:lang w:val="en-US"/>
        </w:rPr>
        <w:t>Special Rapporteur on the human rights of migrants during his official visit to Bosnia and Herzegovina in 2019.</w:t>
      </w:r>
      <w:r w:rsidR="004A1A0C">
        <w:rPr>
          <w:rFonts w:ascii="Arial" w:hAnsi="Arial" w:cs="Arial"/>
          <w:sz w:val="30"/>
          <w:szCs w:val="30"/>
          <w:lang w:val="en-US"/>
        </w:rPr>
        <w:t xml:space="preserve"> </w:t>
      </w:r>
      <w:r w:rsidR="004A1A0C" w:rsidRPr="004A1A0C">
        <w:rPr>
          <w:rFonts w:cstheme="minorHAnsi"/>
          <w:lang w:val="en-US"/>
        </w:rPr>
        <w:t>(</w:t>
      </w:r>
      <w:hyperlink r:id="rId9" w:tgtFrame="Com_25355" w:history="1">
        <w:r w:rsidR="004A1A0C" w:rsidRPr="004A1A0C">
          <w:rPr>
            <w:rStyle w:val="Hyperlink"/>
            <w:rFonts w:cstheme="minorHAnsi"/>
            <w:lang w:val="en-US"/>
          </w:rPr>
          <w:t>CRO 1/2020</w:t>
        </w:r>
      </w:hyperlink>
      <w:r w:rsidR="004A1A0C" w:rsidRPr="004A1A0C">
        <w:rPr>
          <w:rFonts w:cstheme="minorHAnsi"/>
          <w:lang w:val="en-US"/>
        </w:rPr>
        <w:t xml:space="preserve">, available at </w:t>
      </w:r>
      <w:hyperlink r:id="rId10" w:history="1">
        <w:r w:rsidR="004A1A0C" w:rsidRPr="004A1A0C">
          <w:rPr>
            <w:rStyle w:val="Hyperlink"/>
            <w:rFonts w:cstheme="minorHAnsi"/>
            <w:lang w:val="en-US"/>
          </w:rPr>
          <w:t>https://spcommreports.ohchr.org/TmSearch/Results</w:t>
        </w:r>
      </w:hyperlink>
      <w:r w:rsidR="004A1A0C" w:rsidRPr="004A1A0C">
        <w:rPr>
          <w:rFonts w:cstheme="minorHAnsi"/>
          <w:lang w:val="en-US"/>
        </w:rPr>
        <w:t xml:space="preserve">).  </w:t>
      </w:r>
    </w:p>
    <w:p w:rsidR="00D35173" w:rsidRPr="004A1A0C" w:rsidRDefault="00D35173" w:rsidP="00D35173">
      <w:pPr>
        <w:jc w:val="both"/>
        <w:rPr>
          <w:rFonts w:cstheme="minorHAnsi"/>
          <w:iCs/>
          <w:lang w:val="en-US"/>
        </w:rPr>
      </w:pPr>
    </w:p>
    <w:p w:rsidR="001B7CA2" w:rsidRPr="004A1A0C" w:rsidRDefault="001B7CA2" w:rsidP="001B7CA2">
      <w:pPr>
        <w:rPr>
          <w:rFonts w:cstheme="minorHAnsi"/>
          <w:lang w:val="en-GB"/>
        </w:rPr>
      </w:pPr>
      <w:r w:rsidRPr="004A1A0C">
        <w:rPr>
          <w:rFonts w:cstheme="minorHAnsi"/>
          <w:b/>
          <w:bCs/>
          <w:i/>
          <w:iCs/>
          <w:lang w:val="en-GB"/>
        </w:rPr>
        <w:t xml:space="preserve">E. Initiatives to foster a rule of law culture </w:t>
      </w:r>
    </w:p>
    <w:p w:rsidR="001B7CA2" w:rsidRPr="004A1A0C" w:rsidRDefault="001B7CA2" w:rsidP="001B7CA2">
      <w:pPr>
        <w:rPr>
          <w:rFonts w:cstheme="minorHAnsi"/>
          <w:lang w:val="en-GB"/>
        </w:rPr>
      </w:pPr>
      <w:r w:rsidRPr="004A1A0C">
        <w:rPr>
          <w:rFonts w:cstheme="minorHAnsi"/>
          <w:i/>
          <w:iCs/>
          <w:lang w:val="en-GB"/>
        </w:rPr>
        <w:t xml:space="preserve">46. Measures to foster a rule of law culture (e.g. debates in national parliaments on the rule of law, public information campaigns on rule of law issues, etc.) </w:t>
      </w:r>
    </w:p>
    <w:p w:rsidR="001B7CA2" w:rsidRPr="004A1A0C" w:rsidRDefault="001B7CA2" w:rsidP="001B7CA2">
      <w:pPr>
        <w:rPr>
          <w:rFonts w:cstheme="minorHAnsi"/>
        </w:rPr>
      </w:pPr>
      <w:r w:rsidRPr="004A1A0C">
        <w:rPr>
          <w:rFonts w:cstheme="minorHAnsi"/>
          <w:b/>
          <w:bCs/>
          <w:i/>
          <w:iCs/>
        </w:rPr>
        <w:t>Other – please specify</w:t>
      </w:r>
    </w:p>
    <w:p w:rsidR="008C7A94" w:rsidRPr="004A1A0C" w:rsidRDefault="008C7A94" w:rsidP="00E7579B">
      <w:pPr>
        <w:jc w:val="both"/>
        <w:rPr>
          <w:rFonts w:eastAsia="Calibri" w:cstheme="minorHAnsi"/>
          <w:sz w:val="20"/>
          <w:szCs w:val="24"/>
          <w:lang w:val="en-GB"/>
        </w:rPr>
      </w:pPr>
    </w:p>
    <w:sectPr w:rsidR="008C7A94" w:rsidRPr="004A1A0C">
      <w:footerReference w:type="default" r:id="rId11"/>
      <w:endnotePr>
        <w:numFmt w:val="decimal"/>
      </w:endnotePr>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5AD167D" w16cid:durableId="23CA3DF5"/>
  <w16cid:commentId w16cid:paraId="308E159E" w16cid:durableId="23CA3DF6"/>
  <w16cid:commentId w16cid:paraId="7254BE93" w16cid:durableId="23CA3DF7"/>
  <w16cid:commentId w16cid:paraId="7B2D286F" w16cid:durableId="23CA3DF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F7B" w:rsidRDefault="00373F7B" w:rsidP="00AB6BD8">
      <w:pPr>
        <w:spacing w:after="0" w:line="240" w:lineRule="auto"/>
      </w:pPr>
      <w:r>
        <w:separator/>
      </w:r>
    </w:p>
  </w:endnote>
  <w:endnote w:type="continuationSeparator" w:id="0">
    <w:p w:rsidR="00373F7B" w:rsidRDefault="00373F7B" w:rsidP="00AB6B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187566"/>
      <w:docPartObj>
        <w:docPartGallery w:val="Page Numbers (Bottom of Page)"/>
        <w:docPartUnique/>
      </w:docPartObj>
    </w:sdtPr>
    <w:sdtEndPr/>
    <w:sdtContent>
      <w:p w:rsidR="00EA68F5" w:rsidRDefault="00EA68F5">
        <w:pPr>
          <w:pStyle w:val="Footer"/>
          <w:jc w:val="center"/>
        </w:pPr>
        <w:r>
          <w:fldChar w:fldCharType="begin"/>
        </w:r>
        <w:r>
          <w:instrText>PAGE   \* MERGEFORMAT</w:instrText>
        </w:r>
        <w:r>
          <w:fldChar w:fldCharType="separate"/>
        </w:r>
        <w:r w:rsidR="00D4528E" w:rsidRPr="00D4528E">
          <w:rPr>
            <w:noProof/>
            <w:lang w:val="fr-FR"/>
          </w:rPr>
          <w:t>1</w:t>
        </w:r>
        <w:r>
          <w:fldChar w:fldCharType="end"/>
        </w:r>
      </w:p>
    </w:sdtContent>
  </w:sdt>
  <w:p w:rsidR="00EA68F5" w:rsidRDefault="00EA68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F7B" w:rsidRDefault="00373F7B" w:rsidP="00AB6BD8">
      <w:pPr>
        <w:spacing w:after="0" w:line="240" w:lineRule="auto"/>
      </w:pPr>
      <w:r>
        <w:separator/>
      </w:r>
    </w:p>
  </w:footnote>
  <w:footnote w:type="continuationSeparator" w:id="0">
    <w:p w:rsidR="00373F7B" w:rsidRDefault="00373F7B" w:rsidP="00AB6B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61424"/>
    <w:multiLevelType w:val="hybridMultilevel"/>
    <w:tmpl w:val="6BBEB64A"/>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15:restartNumberingAfterBreak="0">
    <w:nsid w:val="123D7478"/>
    <w:multiLevelType w:val="hybridMultilevel"/>
    <w:tmpl w:val="6A50DE0E"/>
    <w:lvl w:ilvl="0" w:tplc="0809000B">
      <w:start w:val="1"/>
      <w:numFmt w:val="bullet"/>
      <w:lvlText w:val=""/>
      <w:lvlJc w:val="left"/>
      <w:pPr>
        <w:ind w:left="54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B224C5"/>
    <w:multiLevelType w:val="hybridMultilevel"/>
    <w:tmpl w:val="8BB2CF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5222D4"/>
    <w:multiLevelType w:val="hybridMultilevel"/>
    <w:tmpl w:val="23A60B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71386F"/>
    <w:multiLevelType w:val="hybridMultilevel"/>
    <w:tmpl w:val="7F542AC4"/>
    <w:lvl w:ilvl="0" w:tplc="080C000B">
      <w:start w:val="1"/>
      <w:numFmt w:val="bullet"/>
      <w:lvlText w:val=""/>
      <w:lvlJc w:val="left"/>
      <w:pPr>
        <w:ind w:left="630" w:hanging="360"/>
      </w:pPr>
      <w:rPr>
        <w:rFonts w:ascii="Wingdings" w:hAnsi="Wingdings" w:hint="default"/>
      </w:rPr>
    </w:lvl>
    <w:lvl w:ilvl="1" w:tplc="080C0003" w:tentative="1">
      <w:start w:val="1"/>
      <w:numFmt w:val="bullet"/>
      <w:lvlText w:val="o"/>
      <w:lvlJc w:val="left"/>
      <w:pPr>
        <w:ind w:left="1350" w:hanging="360"/>
      </w:pPr>
      <w:rPr>
        <w:rFonts w:ascii="Courier New" w:hAnsi="Courier New" w:cs="Courier New" w:hint="default"/>
      </w:rPr>
    </w:lvl>
    <w:lvl w:ilvl="2" w:tplc="080C0005" w:tentative="1">
      <w:start w:val="1"/>
      <w:numFmt w:val="bullet"/>
      <w:lvlText w:val=""/>
      <w:lvlJc w:val="left"/>
      <w:pPr>
        <w:ind w:left="2070" w:hanging="360"/>
      </w:pPr>
      <w:rPr>
        <w:rFonts w:ascii="Wingdings" w:hAnsi="Wingdings" w:hint="default"/>
      </w:rPr>
    </w:lvl>
    <w:lvl w:ilvl="3" w:tplc="080C0001" w:tentative="1">
      <w:start w:val="1"/>
      <w:numFmt w:val="bullet"/>
      <w:lvlText w:val=""/>
      <w:lvlJc w:val="left"/>
      <w:pPr>
        <w:ind w:left="2790" w:hanging="360"/>
      </w:pPr>
      <w:rPr>
        <w:rFonts w:ascii="Symbol" w:hAnsi="Symbol" w:hint="default"/>
      </w:rPr>
    </w:lvl>
    <w:lvl w:ilvl="4" w:tplc="080C0003" w:tentative="1">
      <w:start w:val="1"/>
      <w:numFmt w:val="bullet"/>
      <w:lvlText w:val="o"/>
      <w:lvlJc w:val="left"/>
      <w:pPr>
        <w:ind w:left="3510" w:hanging="360"/>
      </w:pPr>
      <w:rPr>
        <w:rFonts w:ascii="Courier New" w:hAnsi="Courier New" w:cs="Courier New" w:hint="default"/>
      </w:rPr>
    </w:lvl>
    <w:lvl w:ilvl="5" w:tplc="080C0005" w:tentative="1">
      <w:start w:val="1"/>
      <w:numFmt w:val="bullet"/>
      <w:lvlText w:val=""/>
      <w:lvlJc w:val="left"/>
      <w:pPr>
        <w:ind w:left="4230" w:hanging="360"/>
      </w:pPr>
      <w:rPr>
        <w:rFonts w:ascii="Wingdings" w:hAnsi="Wingdings" w:hint="default"/>
      </w:rPr>
    </w:lvl>
    <w:lvl w:ilvl="6" w:tplc="080C0001" w:tentative="1">
      <w:start w:val="1"/>
      <w:numFmt w:val="bullet"/>
      <w:lvlText w:val=""/>
      <w:lvlJc w:val="left"/>
      <w:pPr>
        <w:ind w:left="4950" w:hanging="360"/>
      </w:pPr>
      <w:rPr>
        <w:rFonts w:ascii="Symbol" w:hAnsi="Symbol" w:hint="default"/>
      </w:rPr>
    </w:lvl>
    <w:lvl w:ilvl="7" w:tplc="080C0003" w:tentative="1">
      <w:start w:val="1"/>
      <w:numFmt w:val="bullet"/>
      <w:lvlText w:val="o"/>
      <w:lvlJc w:val="left"/>
      <w:pPr>
        <w:ind w:left="5670" w:hanging="360"/>
      </w:pPr>
      <w:rPr>
        <w:rFonts w:ascii="Courier New" w:hAnsi="Courier New" w:cs="Courier New" w:hint="default"/>
      </w:rPr>
    </w:lvl>
    <w:lvl w:ilvl="8" w:tplc="080C0005" w:tentative="1">
      <w:start w:val="1"/>
      <w:numFmt w:val="bullet"/>
      <w:lvlText w:val=""/>
      <w:lvlJc w:val="left"/>
      <w:pPr>
        <w:ind w:left="6390" w:hanging="360"/>
      </w:pPr>
      <w:rPr>
        <w:rFonts w:ascii="Wingdings" w:hAnsi="Wingdings" w:hint="default"/>
      </w:rPr>
    </w:lvl>
  </w:abstractNum>
  <w:abstractNum w:abstractNumId="5" w15:restartNumberingAfterBreak="0">
    <w:nsid w:val="41FC1E11"/>
    <w:multiLevelType w:val="hybridMultilevel"/>
    <w:tmpl w:val="5CBE6C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29327A"/>
    <w:multiLevelType w:val="hybridMultilevel"/>
    <w:tmpl w:val="C18CA3C6"/>
    <w:lvl w:ilvl="0" w:tplc="9B86EA64">
      <w:start w:val="1"/>
      <w:numFmt w:val="upperRoman"/>
      <w:lvlText w:val="%1."/>
      <w:lvlJc w:val="left"/>
      <w:pPr>
        <w:ind w:left="2844" w:hanging="720"/>
      </w:pPr>
      <w:rPr>
        <w:rFonts w:hint="default"/>
      </w:rPr>
    </w:lvl>
    <w:lvl w:ilvl="1" w:tplc="080C0019" w:tentative="1">
      <w:start w:val="1"/>
      <w:numFmt w:val="lowerLetter"/>
      <w:lvlText w:val="%2."/>
      <w:lvlJc w:val="left"/>
      <w:pPr>
        <w:ind w:left="3204" w:hanging="360"/>
      </w:pPr>
    </w:lvl>
    <w:lvl w:ilvl="2" w:tplc="080C001B" w:tentative="1">
      <w:start w:val="1"/>
      <w:numFmt w:val="lowerRoman"/>
      <w:lvlText w:val="%3."/>
      <w:lvlJc w:val="right"/>
      <w:pPr>
        <w:ind w:left="3924" w:hanging="180"/>
      </w:pPr>
    </w:lvl>
    <w:lvl w:ilvl="3" w:tplc="080C000F" w:tentative="1">
      <w:start w:val="1"/>
      <w:numFmt w:val="decimal"/>
      <w:lvlText w:val="%4."/>
      <w:lvlJc w:val="left"/>
      <w:pPr>
        <w:ind w:left="4644" w:hanging="360"/>
      </w:pPr>
    </w:lvl>
    <w:lvl w:ilvl="4" w:tplc="080C0019" w:tentative="1">
      <w:start w:val="1"/>
      <w:numFmt w:val="lowerLetter"/>
      <w:lvlText w:val="%5."/>
      <w:lvlJc w:val="left"/>
      <w:pPr>
        <w:ind w:left="5364" w:hanging="360"/>
      </w:pPr>
    </w:lvl>
    <w:lvl w:ilvl="5" w:tplc="080C001B" w:tentative="1">
      <w:start w:val="1"/>
      <w:numFmt w:val="lowerRoman"/>
      <w:lvlText w:val="%6."/>
      <w:lvlJc w:val="right"/>
      <w:pPr>
        <w:ind w:left="6084" w:hanging="180"/>
      </w:pPr>
    </w:lvl>
    <w:lvl w:ilvl="6" w:tplc="080C000F" w:tentative="1">
      <w:start w:val="1"/>
      <w:numFmt w:val="decimal"/>
      <w:lvlText w:val="%7."/>
      <w:lvlJc w:val="left"/>
      <w:pPr>
        <w:ind w:left="6804" w:hanging="360"/>
      </w:pPr>
    </w:lvl>
    <w:lvl w:ilvl="7" w:tplc="080C0019" w:tentative="1">
      <w:start w:val="1"/>
      <w:numFmt w:val="lowerLetter"/>
      <w:lvlText w:val="%8."/>
      <w:lvlJc w:val="left"/>
      <w:pPr>
        <w:ind w:left="7524" w:hanging="360"/>
      </w:pPr>
    </w:lvl>
    <w:lvl w:ilvl="8" w:tplc="080C001B" w:tentative="1">
      <w:start w:val="1"/>
      <w:numFmt w:val="lowerRoman"/>
      <w:lvlText w:val="%9."/>
      <w:lvlJc w:val="right"/>
      <w:pPr>
        <w:ind w:left="8244" w:hanging="180"/>
      </w:pPr>
    </w:lvl>
  </w:abstractNum>
  <w:abstractNum w:abstractNumId="7" w15:restartNumberingAfterBreak="0">
    <w:nsid w:val="6FE8771B"/>
    <w:multiLevelType w:val="hybridMultilevel"/>
    <w:tmpl w:val="C7409BE2"/>
    <w:lvl w:ilvl="0" w:tplc="2E90BA4E">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 w15:restartNumberingAfterBreak="0">
    <w:nsid w:val="7C7E40FA"/>
    <w:multiLevelType w:val="hybridMultilevel"/>
    <w:tmpl w:val="18828D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4"/>
  </w:num>
  <w:num w:numId="4">
    <w:abstractNumId w:val="2"/>
  </w:num>
  <w:num w:numId="5">
    <w:abstractNumId w:val="8"/>
  </w:num>
  <w:num w:numId="6">
    <w:abstractNumId w:val="0"/>
  </w:num>
  <w:num w:numId="7">
    <w:abstractNumId w:val="3"/>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fr-BE" w:vendorID="64" w:dllVersion="131078" w:nlCheck="1" w:checkStyle="0"/>
  <w:activeWritingStyle w:appName="MSWord" w:lang="fr-FR" w:vendorID="64" w:dllVersion="131078" w:nlCheck="1" w:checkStyle="0"/>
  <w:trackRevisions/>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79B"/>
    <w:rsid w:val="00024911"/>
    <w:rsid w:val="00031B19"/>
    <w:rsid w:val="00032AD8"/>
    <w:rsid w:val="00082593"/>
    <w:rsid w:val="000A4FD6"/>
    <w:rsid w:val="000E4D46"/>
    <w:rsid w:val="000F74F4"/>
    <w:rsid w:val="00137F92"/>
    <w:rsid w:val="00145EB8"/>
    <w:rsid w:val="00195595"/>
    <w:rsid w:val="001B7CA2"/>
    <w:rsid w:val="001C79A2"/>
    <w:rsid w:val="001C7CCF"/>
    <w:rsid w:val="001F5C71"/>
    <w:rsid w:val="002057FA"/>
    <w:rsid w:val="00215D8A"/>
    <w:rsid w:val="00221C79"/>
    <w:rsid w:val="00251082"/>
    <w:rsid w:val="00275AE3"/>
    <w:rsid w:val="00294704"/>
    <w:rsid w:val="002A2FEF"/>
    <w:rsid w:val="002C15AB"/>
    <w:rsid w:val="002D2B33"/>
    <w:rsid w:val="002D45D1"/>
    <w:rsid w:val="00304D44"/>
    <w:rsid w:val="00322954"/>
    <w:rsid w:val="00340DEF"/>
    <w:rsid w:val="00373F7B"/>
    <w:rsid w:val="00383787"/>
    <w:rsid w:val="003A1F60"/>
    <w:rsid w:val="003B6983"/>
    <w:rsid w:val="003D7088"/>
    <w:rsid w:val="00404875"/>
    <w:rsid w:val="00451BE5"/>
    <w:rsid w:val="004809CC"/>
    <w:rsid w:val="00481C30"/>
    <w:rsid w:val="00483779"/>
    <w:rsid w:val="004A0573"/>
    <w:rsid w:val="004A1A0C"/>
    <w:rsid w:val="004B2FFA"/>
    <w:rsid w:val="004C2E15"/>
    <w:rsid w:val="00512E87"/>
    <w:rsid w:val="00514544"/>
    <w:rsid w:val="00546905"/>
    <w:rsid w:val="005746B8"/>
    <w:rsid w:val="005A11AB"/>
    <w:rsid w:val="005B39CE"/>
    <w:rsid w:val="005D60E3"/>
    <w:rsid w:val="0060624C"/>
    <w:rsid w:val="006337F3"/>
    <w:rsid w:val="00651312"/>
    <w:rsid w:val="00655333"/>
    <w:rsid w:val="0066480F"/>
    <w:rsid w:val="00690F5A"/>
    <w:rsid w:val="006A447C"/>
    <w:rsid w:val="006A6426"/>
    <w:rsid w:val="006B4CC3"/>
    <w:rsid w:val="006C7E0B"/>
    <w:rsid w:val="007040EC"/>
    <w:rsid w:val="00712522"/>
    <w:rsid w:val="00732EE8"/>
    <w:rsid w:val="0074233A"/>
    <w:rsid w:val="00747ABD"/>
    <w:rsid w:val="00770E55"/>
    <w:rsid w:val="00775D96"/>
    <w:rsid w:val="00783644"/>
    <w:rsid w:val="0080379C"/>
    <w:rsid w:val="00812CA6"/>
    <w:rsid w:val="00815599"/>
    <w:rsid w:val="008628EF"/>
    <w:rsid w:val="00867498"/>
    <w:rsid w:val="008A1B74"/>
    <w:rsid w:val="008A7229"/>
    <w:rsid w:val="008B32C1"/>
    <w:rsid w:val="008B5DE9"/>
    <w:rsid w:val="008C0510"/>
    <w:rsid w:val="008C7A94"/>
    <w:rsid w:val="008E537C"/>
    <w:rsid w:val="008F5F0F"/>
    <w:rsid w:val="00913598"/>
    <w:rsid w:val="00916B8E"/>
    <w:rsid w:val="009421C7"/>
    <w:rsid w:val="00976617"/>
    <w:rsid w:val="00997215"/>
    <w:rsid w:val="009A3EA9"/>
    <w:rsid w:val="009A64E5"/>
    <w:rsid w:val="009D5E3E"/>
    <w:rsid w:val="00A84875"/>
    <w:rsid w:val="00A8672F"/>
    <w:rsid w:val="00A87333"/>
    <w:rsid w:val="00A95EFB"/>
    <w:rsid w:val="00AA0504"/>
    <w:rsid w:val="00AA605D"/>
    <w:rsid w:val="00AB4073"/>
    <w:rsid w:val="00AB6BD8"/>
    <w:rsid w:val="00AB7A4E"/>
    <w:rsid w:val="00AC047A"/>
    <w:rsid w:val="00B54E3F"/>
    <w:rsid w:val="00B669A0"/>
    <w:rsid w:val="00B70D75"/>
    <w:rsid w:val="00B837B5"/>
    <w:rsid w:val="00B87B8F"/>
    <w:rsid w:val="00B91DD9"/>
    <w:rsid w:val="00B94426"/>
    <w:rsid w:val="00BA2D78"/>
    <w:rsid w:val="00BB4ADF"/>
    <w:rsid w:val="00BB67D7"/>
    <w:rsid w:val="00BC1185"/>
    <w:rsid w:val="00BC1D9A"/>
    <w:rsid w:val="00BD43CF"/>
    <w:rsid w:val="00BF5114"/>
    <w:rsid w:val="00C000BA"/>
    <w:rsid w:val="00C05F71"/>
    <w:rsid w:val="00C33BB1"/>
    <w:rsid w:val="00C34944"/>
    <w:rsid w:val="00C365C9"/>
    <w:rsid w:val="00C46DCD"/>
    <w:rsid w:val="00C75F31"/>
    <w:rsid w:val="00C80EF0"/>
    <w:rsid w:val="00CC6B37"/>
    <w:rsid w:val="00CD1815"/>
    <w:rsid w:val="00CF1281"/>
    <w:rsid w:val="00CF698C"/>
    <w:rsid w:val="00D2118F"/>
    <w:rsid w:val="00D35173"/>
    <w:rsid w:val="00D4528E"/>
    <w:rsid w:val="00D848D8"/>
    <w:rsid w:val="00D95FE5"/>
    <w:rsid w:val="00DA2342"/>
    <w:rsid w:val="00DA66CF"/>
    <w:rsid w:val="00DE25C3"/>
    <w:rsid w:val="00E25407"/>
    <w:rsid w:val="00E7579B"/>
    <w:rsid w:val="00E75F98"/>
    <w:rsid w:val="00EA68F5"/>
    <w:rsid w:val="00EF36D6"/>
    <w:rsid w:val="00EF4DF8"/>
    <w:rsid w:val="00EF6E5B"/>
    <w:rsid w:val="00F04B64"/>
    <w:rsid w:val="00F21400"/>
    <w:rsid w:val="00F36798"/>
    <w:rsid w:val="00F40841"/>
    <w:rsid w:val="00F77558"/>
    <w:rsid w:val="00FA5325"/>
    <w:rsid w:val="00FE1807"/>
    <w:rsid w:val="00FE4B98"/>
    <w:rsid w:val="00FF410C"/>
  </w:rsids>
  <m:mathPr>
    <m:mathFont m:val="Cambria Math"/>
    <m:brkBin m:val="before"/>
    <m:brkBinSub m:val="--"/>
    <m:smallFrac m:val="0"/>
    <m:dispDef/>
    <m:lMargin m:val="0"/>
    <m:rMargin m:val="0"/>
    <m:defJc m:val="centerGroup"/>
    <m:wrapIndent m:val="1440"/>
    <m:intLim m:val="subSup"/>
    <m:naryLim m:val="undOvr"/>
  </m:mathPr>
  <w:themeFontLang w:val="fr-B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71498E-03E6-4E57-9D91-D8D5EF42D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1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579B"/>
    <w:pPr>
      <w:ind w:left="720"/>
      <w:contextualSpacing/>
    </w:pPr>
  </w:style>
  <w:style w:type="character" w:styleId="Hyperlink">
    <w:name w:val="Hyperlink"/>
    <w:basedOn w:val="DefaultParagraphFont"/>
    <w:uiPriority w:val="99"/>
    <w:unhideWhenUsed/>
    <w:rsid w:val="004809CC"/>
    <w:rPr>
      <w:color w:val="0563C1" w:themeColor="hyperlink"/>
      <w:u w:val="single"/>
    </w:rPr>
  </w:style>
  <w:style w:type="character" w:customStyle="1" w:styleId="UnresolvedMention1">
    <w:name w:val="Unresolved Mention1"/>
    <w:basedOn w:val="DefaultParagraphFont"/>
    <w:uiPriority w:val="99"/>
    <w:semiHidden/>
    <w:unhideWhenUsed/>
    <w:rsid w:val="004809CC"/>
    <w:rPr>
      <w:color w:val="605E5C"/>
      <w:shd w:val="clear" w:color="auto" w:fill="E1DFDD"/>
    </w:rPr>
  </w:style>
  <w:style w:type="paragraph" w:styleId="FootnoteText">
    <w:name w:val="footnote text"/>
    <w:basedOn w:val="Normal"/>
    <w:link w:val="FootnoteTextChar"/>
    <w:uiPriority w:val="99"/>
    <w:semiHidden/>
    <w:unhideWhenUsed/>
    <w:rsid w:val="00AB6B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B6BD8"/>
    <w:rPr>
      <w:sz w:val="20"/>
      <w:szCs w:val="20"/>
    </w:rPr>
  </w:style>
  <w:style w:type="character" w:styleId="FootnoteReference">
    <w:name w:val="footnote reference"/>
    <w:basedOn w:val="DefaultParagraphFont"/>
    <w:uiPriority w:val="99"/>
    <w:semiHidden/>
    <w:unhideWhenUsed/>
    <w:rsid w:val="00AB6BD8"/>
    <w:rPr>
      <w:vertAlign w:val="superscript"/>
    </w:rPr>
  </w:style>
  <w:style w:type="paragraph" w:styleId="EndnoteText">
    <w:name w:val="endnote text"/>
    <w:basedOn w:val="Normal"/>
    <w:link w:val="EndnoteTextChar"/>
    <w:uiPriority w:val="99"/>
    <w:unhideWhenUsed/>
    <w:rsid w:val="000F74F4"/>
    <w:pPr>
      <w:spacing w:after="0" w:line="240" w:lineRule="auto"/>
    </w:pPr>
    <w:rPr>
      <w:sz w:val="20"/>
      <w:szCs w:val="20"/>
    </w:rPr>
  </w:style>
  <w:style w:type="character" w:customStyle="1" w:styleId="EndnoteTextChar">
    <w:name w:val="Endnote Text Char"/>
    <w:basedOn w:val="DefaultParagraphFont"/>
    <w:link w:val="EndnoteText"/>
    <w:uiPriority w:val="99"/>
    <w:rsid w:val="000F74F4"/>
    <w:rPr>
      <w:sz w:val="20"/>
      <w:szCs w:val="20"/>
    </w:rPr>
  </w:style>
  <w:style w:type="character" w:styleId="EndnoteReference">
    <w:name w:val="endnote reference"/>
    <w:basedOn w:val="DefaultParagraphFont"/>
    <w:uiPriority w:val="99"/>
    <w:semiHidden/>
    <w:unhideWhenUsed/>
    <w:rsid w:val="000F74F4"/>
    <w:rPr>
      <w:vertAlign w:val="superscript"/>
    </w:rPr>
  </w:style>
  <w:style w:type="paragraph" w:styleId="Header">
    <w:name w:val="header"/>
    <w:basedOn w:val="Normal"/>
    <w:link w:val="HeaderChar"/>
    <w:uiPriority w:val="99"/>
    <w:unhideWhenUsed/>
    <w:rsid w:val="00997215"/>
    <w:pPr>
      <w:tabs>
        <w:tab w:val="center" w:pos="4536"/>
        <w:tab w:val="right" w:pos="9072"/>
      </w:tabs>
      <w:spacing w:after="0" w:line="240" w:lineRule="auto"/>
    </w:pPr>
  </w:style>
  <w:style w:type="character" w:customStyle="1" w:styleId="HeaderChar">
    <w:name w:val="Header Char"/>
    <w:basedOn w:val="DefaultParagraphFont"/>
    <w:link w:val="Header"/>
    <w:uiPriority w:val="99"/>
    <w:rsid w:val="00997215"/>
  </w:style>
  <w:style w:type="paragraph" w:styleId="Footer">
    <w:name w:val="footer"/>
    <w:basedOn w:val="Normal"/>
    <w:link w:val="FooterChar"/>
    <w:uiPriority w:val="99"/>
    <w:unhideWhenUsed/>
    <w:rsid w:val="00997215"/>
    <w:pPr>
      <w:tabs>
        <w:tab w:val="center" w:pos="4536"/>
        <w:tab w:val="right" w:pos="9072"/>
      </w:tabs>
      <w:spacing w:after="0" w:line="240" w:lineRule="auto"/>
    </w:pPr>
  </w:style>
  <w:style w:type="character" w:customStyle="1" w:styleId="FooterChar">
    <w:name w:val="Footer Char"/>
    <w:basedOn w:val="DefaultParagraphFont"/>
    <w:link w:val="Footer"/>
    <w:uiPriority w:val="99"/>
    <w:rsid w:val="00997215"/>
  </w:style>
  <w:style w:type="character" w:styleId="FollowedHyperlink">
    <w:name w:val="FollowedHyperlink"/>
    <w:basedOn w:val="DefaultParagraphFont"/>
    <w:uiPriority w:val="99"/>
    <w:semiHidden/>
    <w:unhideWhenUsed/>
    <w:rsid w:val="008A1B74"/>
    <w:rPr>
      <w:color w:val="954F72" w:themeColor="followedHyperlink"/>
      <w:u w:val="single"/>
    </w:rPr>
  </w:style>
  <w:style w:type="paragraph" w:styleId="NormalWeb">
    <w:name w:val="Normal (Web)"/>
    <w:basedOn w:val="Normal"/>
    <w:uiPriority w:val="99"/>
    <w:unhideWhenUsed/>
    <w:rsid w:val="00CC6B37"/>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815599"/>
    <w:rPr>
      <w:sz w:val="16"/>
      <w:szCs w:val="16"/>
    </w:rPr>
  </w:style>
  <w:style w:type="paragraph" w:styleId="CommentText">
    <w:name w:val="annotation text"/>
    <w:basedOn w:val="Normal"/>
    <w:link w:val="CommentTextChar"/>
    <w:uiPriority w:val="99"/>
    <w:semiHidden/>
    <w:unhideWhenUsed/>
    <w:rsid w:val="00815599"/>
    <w:pPr>
      <w:spacing w:line="240" w:lineRule="auto"/>
    </w:pPr>
    <w:rPr>
      <w:sz w:val="20"/>
      <w:szCs w:val="20"/>
    </w:rPr>
  </w:style>
  <w:style w:type="character" w:customStyle="1" w:styleId="CommentTextChar">
    <w:name w:val="Comment Text Char"/>
    <w:basedOn w:val="DefaultParagraphFont"/>
    <w:link w:val="CommentText"/>
    <w:uiPriority w:val="99"/>
    <w:semiHidden/>
    <w:rsid w:val="00815599"/>
    <w:rPr>
      <w:sz w:val="20"/>
      <w:szCs w:val="20"/>
    </w:rPr>
  </w:style>
  <w:style w:type="paragraph" w:styleId="CommentSubject">
    <w:name w:val="annotation subject"/>
    <w:basedOn w:val="CommentText"/>
    <w:next w:val="CommentText"/>
    <w:link w:val="CommentSubjectChar"/>
    <w:uiPriority w:val="99"/>
    <w:semiHidden/>
    <w:unhideWhenUsed/>
    <w:rsid w:val="00815599"/>
    <w:rPr>
      <w:b/>
      <w:bCs/>
    </w:rPr>
  </w:style>
  <w:style w:type="character" w:customStyle="1" w:styleId="CommentSubjectChar">
    <w:name w:val="Comment Subject Char"/>
    <w:basedOn w:val="CommentTextChar"/>
    <w:link w:val="CommentSubject"/>
    <w:uiPriority w:val="99"/>
    <w:semiHidden/>
    <w:rsid w:val="00815599"/>
    <w:rPr>
      <w:b/>
      <w:bCs/>
      <w:sz w:val="20"/>
      <w:szCs w:val="20"/>
    </w:rPr>
  </w:style>
  <w:style w:type="paragraph" w:styleId="BalloonText">
    <w:name w:val="Balloon Text"/>
    <w:basedOn w:val="Normal"/>
    <w:link w:val="BalloonTextChar"/>
    <w:uiPriority w:val="99"/>
    <w:semiHidden/>
    <w:unhideWhenUsed/>
    <w:rsid w:val="008155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5599"/>
    <w:rPr>
      <w:rFonts w:ascii="Segoe UI" w:hAnsi="Segoe UI" w:cs="Segoe UI"/>
      <w:sz w:val="18"/>
      <w:szCs w:val="18"/>
    </w:rPr>
  </w:style>
  <w:style w:type="character" w:customStyle="1" w:styleId="lblnewsfulltext">
    <w:name w:val="lblnewsfulltext"/>
    <w:basedOn w:val="DefaultParagraphFont"/>
    <w:rsid w:val="006513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564168">
      <w:bodyDiv w:val="1"/>
      <w:marLeft w:val="0"/>
      <w:marRight w:val="0"/>
      <w:marTop w:val="0"/>
      <w:marBottom w:val="0"/>
      <w:divBdr>
        <w:top w:val="none" w:sz="0" w:space="0" w:color="auto"/>
        <w:left w:val="none" w:sz="0" w:space="0" w:color="auto"/>
        <w:bottom w:val="none" w:sz="0" w:space="0" w:color="auto"/>
        <w:right w:val="none" w:sz="0" w:space="0" w:color="auto"/>
      </w:divBdr>
    </w:div>
    <w:div w:id="743644171">
      <w:bodyDiv w:val="1"/>
      <w:marLeft w:val="0"/>
      <w:marRight w:val="0"/>
      <w:marTop w:val="0"/>
      <w:marBottom w:val="0"/>
      <w:divBdr>
        <w:top w:val="none" w:sz="0" w:space="0" w:color="auto"/>
        <w:left w:val="none" w:sz="0" w:space="0" w:color="auto"/>
        <w:bottom w:val="none" w:sz="0" w:space="0" w:color="auto"/>
        <w:right w:val="none" w:sz="0" w:space="0" w:color="auto"/>
      </w:divBdr>
    </w:div>
    <w:div w:id="1379091585">
      <w:bodyDiv w:val="1"/>
      <w:marLeft w:val="0"/>
      <w:marRight w:val="0"/>
      <w:marTop w:val="0"/>
      <w:marBottom w:val="0"/>
      <w:divBdr>
        <w:top w:val="none" w:sz="0" w:space="0" w:color="auto"/>
        <w:left w:val="none" w:sz="0" w:space="0" w:color="auto"/>
        <w:bottom w:val="none" w:sz="0" w:space="0" w:color="auto"/>
        <w:right w:val="none" w:sz="0" w:space="0" w:color="auto"/>
      </w:divBdr>
    </w:div>
    <w:div w:id="1699503123">
      <w:bodyDiv w:val="1"/>
      <w:marLeft w:val="0"/>
      <w:marRight w:val="0"/>
      <w:marTop w:val="0"/>
      <w:marBottom w:val="0"/>
      <w:divBdr>
        <w:top w:val="none" w:sz="0" w:space="0" w:color="auto"/>
        <w:left w:val="none" w:sz="0" w:space="0" w:color="auto"/>
        <w:bottom w:val="none" w:sz="0" w:space="0" w:color="auto"/>
        <w:right w:val="none" w:sz="0" w:space="0" w:color="auto"/>
      </w:divBdr>
    </w:div>
    <w:div w:id="208741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hchr.org/EN/NewsEvents/Pages/DisplayNews.aspx?NewsID=26806&amp;LangI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28" Type="http://schemas.microsoft.com/office/2016/09/relationships/commentsIds" Target="commentsIds.xml"/><Relationship Id="rId10" Type="http://schemas.openxmlformats.org/officeDocument/2006/relationships/hyperlink" Target="https://spcommreports.ohchr.org/TmSearch/Results" TargetMode="External"/><Relationship Id="rId4" Type="http://schemas.openxmlformats.org/officeDocument/2006/relationships/settings" Target="settings.xml"/><Relationship Id="rId9" Type="http://schemas.openxmlformats.org/officeDocument/2006/relationships/hyperlink" Target="https://spcommreports.ohchr.org/TMResultsBase/DownLoadPublicCommunicationFile?gId=25355"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B6F9B-C14A-4499-8AED-459EF4E25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1334</Words>
  <Characters>7607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8924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dc:creator>
  <cp:keywords/>
  <dc:description/>
  <cp:lastModifiedBy>Edyta</cp:lastModifiedBy>
  <cp:revision>2</cp:revision>
  <dcterms:created xsi:type="dcterms:W3CDTF">2021-03-05T15:41:00Z</dcterms:created>
  <dcterms:modified xsi:type="dcterms:W3CDTF">2021-03-05T15:41:00Z</dcterms:modified>
</cp:coreProperties>
</file>